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left="0" w:firstLine="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63"/>
        <w:ind w:left="0" w:firstLine="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63"/>
        <w:ind w:left="0" w:firstLine="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color w:val="auto"/>
          <w:sz w:val="84"/>
          <w:highlight w:val="none"/>
        </w:rPr>
      </w:pPr>
      <w:r>
        <w:rPr>
          <w:rFonts w:hint="eastAsia" w:ascii="宋体" w:hAnsi="宋体" w:eastAsia="宋体" w:cs="宋体"/>
          <w:b/>
          <w:bCs/>
          <w:color w:val="auto"/>
          <w:sz w:val="84"/>
          <w:highlight w:val="none"/>
        </w:rPr>
        <w:t xml:space="preserve">招 标 文 件</w:t>
      </w:r>
      <w:r/>
    </w:p>
    <w:p>
      <w:pPr>
        <w:pStyle w:val="863"/>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63"/>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63"/>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63"/>
        <w:ind w:firstLine="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项目编号：JSZC-320900-JZCG-G2025-0061</w:t>
      </w:r>
      <w:r/>
    </w:p>
    <w:p>
      <w:pPr>
        <w:pStyle w:val="863"/>
        <w:ind w:firstLine="0"/>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盐城市第一人民医院</w:t>
      </w:r>
      <w:r>
        <w:rPr>
          <w:rFonts w:hint="eastAsia" w:ascii="宋体" w:hAnsi="宋体" w:eastAsia="宋体" w:cs="宋体"/>
          <w:b/>
          <w:bCs/>
          <w:color w:val="auto"/>
          <w:sz w:val="30"/>
          <w:szCs w:val="30"/>
          <w:highlight w:val="none"/>
          <w:lang w:val="en-US" w:eastAsia="zh-CN"/>
        </w:rPr>
        <w:t xml:space="preserve">南院区物业服务</w:t>
      </w:r>
      <w:r>
        <w:rPr>
          <w:rFonts w:hint="eastAsia" w:ascii="宋体" w:hAnsi="宋体" w:eastAsia="宋体" w:cs="宋体"/>
          <w:b/>
          <w:bCs/>
          <w:color w:val="auto"/>
          <w:sz w:val="30"/>
          <w:szCs w:val="30"/>
          <w:highlight w:val="none"/>
          <w:lang w:eastAsia="zh-CN"/>
        </w:rPr>
        <w:t xml:space="preserve">项目</w:t>
      </w:r>
      <w:r/>
    </w:p>
    <w:p>
      <w:pPr>
        <w:pStyle w:val="863"/>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3"/>
        <w:ind w:firstLine="0"/>
        <w:spacing w:before="0"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71"/>
        <w:jc w:val="center"/>
        <w:spacing w:before="120" w:beforeAutospacing="0" w:after="120" w:afterAutospacing="0" w:line="460" w:lineRule="exact"/>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lang w:eastAsia="zh-CN"/>
        </w:rPr>
        <w:t xml:space="preserve">盐城市第一人民医院</w:t>
      </w:r>
      <w:r/>
    </w:p>
    <w:p>
      <w:pPr>
        <w:pStyle w:val="971"/>
        <w:jc w:val="center"/>
        <w:spacing w:before="120" w:beforeAutospacing="0" w:after="120" w:afterAutospacing="0" w:line="460" w:lineRule="exact"/>
        <w:widowControl w:val="off"/>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2025年</w:t>
      </w:r>
      <w:r>
        <w:rPr>
          <w:rFonts w:hint="eastAsia" w:ascii="宋体" w:hAnsi="宋体" w:eastAsia="宋体" w:cs="宋体"/>
          <w:bCs/>
          <w:color w:val="auto"/>
          <w:sz w:val="32"/>
          <w:szCs w:val="32"/>
          <w:highlight w:val="none"/>
          <w:lang w:val="en-US" w:eastAsia="zh-CN"/>
        </w:rPr>
        <w:t xml:space="preserve">11</w:t>
      </w:r>
      <w:r>
        <w:rPr>
          <w:rFonts w:hint="eastAsia" w:ascii="宋体" w:hAnsi="宋体" w:eastAsia="宋体" w:cs="宋体"/>
          <w:bCs/>
          <w:color w:val="auto"/>
          <w:sz w:val="32"/>
          <w:szCs w:val="32"/>
          <w:highlight w:val="none"/>
        </w:rPr>
        <w:t xml:space="preserve">月</w:t>
      </w:r>
      <w:r/>
    </w:p>
    <w:p>
      <w:pPr>
        <w:pStyle w:val="954"/>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sectPr>
          <w:headerReference w:type="default" r:id="rId9"/>
          <w:headerReference w:type="first" r:id="rId10"/>
          <w:footerReference w:type="even" r:id="rId12"/>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eastAsia="宋体" w:cs="宋体"/>
          <w:b/>
          <w:color w:val="auto"/>
          <w:sz w:val="28"/>
          <w:szCs w:val="28"/>
          <w:highlight w:val="none"/>
        </w:rPr>
      </w:r>
      <w:r/>
    </w:p>
    <w:p>
      <w:pPr>
        <w:ind w:left="0" w:right="0" w:firstLine="0"/>
        <w:jc w:val="center"/>
        <w:spacing w:before="0" w:after="0" w:line="240" w:lineRule="auto"/>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t xml:space="preserve">目</w:t>
      </w:r>
      <w:r>
        <w:rPr>
          <w:rFonts w:hint="eastAsia" w:ascii="宋体" w:hAnsi="宋体" w:eastAsia="宋体" w:cs="宋体"/>
          <w:b/>
          <w:bCs/>
          <w:color w:val="auto"/>
          <w:sz w:val="40"/>
          <w:szCs w:val="48"/>
          <w:highlight w:val="none"/>
          <w:lang w:val="en-US" w:eastAsia="zh-CN"/>
        </w:rPr>
        <w:t xml:space="preserve">  </w:t>
      </w:r>
      <w:r>
        <w:rPr>
          <w:rFonts w:hint="eastAsia" w:ascii="宋体" w:hAnsi="宋体" w:eastAsia="宋体" w:cs="宋体"/>
          <w:b/>
          <w:bCs/>
          <w:color w:val="auto"/>
          <w:sz w:val="40"/>
          <w:szCs w:val="48"/>
          <w:highlight w:val="none"/>
        </w:rPr>
        <w:t xml:space="preserve">录</w:t>
      </w:r>
      <w:r/>
    </w:p>
    <w:p>
      <w:pPr>
        <w:ind w:left="0" w:right="0" w:firstLine="0"/>
        <w:jc w:val="center"/>
        <w:spacing w:before="0" w:after="0" w:line="240" w:lineRule="auto"/>
        <w:rPr>
          <w:rFonts w:hint="eastAsia" w:ascii="宋体" w:hAnsi="宋体" w:eastAsia="宋体" w:cs="宋体"/>
          <w:b/>
          <w:bCs/>
          <w:color w:val="auto"/>
          <w:sz w:val="40"/>
          <w:szCs w:val="48"/>
          <w:highlight w:val="none"/>
        </w:rPr>
      </w:pPr>
      <w:r>
        <w:rPr>
          <w:rFonts w:hint="eastAsia" w:ascii="宋体" w:hAnsi="宋体" w:eastAsia="宋体" w:cs="宋体"/>
          <w:b/>
          <w:bCs/>
          <w:color w:val="auto"/>
          <w:sz w:val="40"/>
          <w:szCs w:val="48"/>
          <w:highlight w:val="none"/>
        </w:rPr>
      </w:r>
      <w:r/>
    </w:p>
    <w:p>
      <w:pPr>
        <w:pStyle w:val="770"/>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color w:val="auto"/>
          <w:sz w:val="44"/>
          <w:szCs w:val="44"/>
          <w:highlight w:val="none"/>
        </w:rPr>
        <w:fldChar w:fldCharType="begin"/>
      </w:r>
      <w:r>
        <w:rPr>
          <w:rFonts w:hint="eastAsia" w:ascii="宋体" w:hAnsi="宋体" w:eastAsia="宋体" w:cs="宋体"/>
          <w:color w:val="auto"/>
          <w:sz w:val="44"/>
          <w:szCs w:val="44"/>
          <w:highlight w:val="none"/>
        </w:rPr>
        <w:instrText xml:space="preserve">TOC \o "1-1" \h \u </w:instrText>
      </w:r>
      <w:r>
        <w:rPr>
          <w:rFonts w:hint="eastAsia" w:ascii="宋体" w:hAnsi="宋体" w:eastAsia="宋体" w:cs="宋体"/>
          <w:color w:val="auto"/>
          <w:sz w:val="44"/>
          <w:szCs w:val="44"/>
          <w:highlight w:val="none"/>
        </w:rPr>
        <w:fldChar w:fldCharType="separate"/>
      </w: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_Toc1413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第一章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招标公告</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_Toc1413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1</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70"/>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_Toc23635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第二章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投标人须知</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_Toc23635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5</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70"/>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_Toc31242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第三章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合同文本</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_Toc31242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22</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70"/>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_Toc18997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第四章</w:t>
      </w:r>
      <w:r>
        <w:rPr>
          <w:rFonts w:hint="eastAsia" w:ascii="宋体" w:hAnsi="宋体" w:eastAsia="宋体" w:cs="宋体"/>
          <w:b w:val="0"/>
          <w:bCs w:val="0"/>
          <w:color w:val="auto"/>
          <w:sz w:val="32"/>
          <w:szCs w:val="60"/>
          <w:highlight w:val="none"/>
          <w:lang w:val="en-US" w:eastAsia="zh-CN"/>
        </w:rPr>
        <w:t xml:space="preserve"> </w:t>
      </w:r>
      <w:r>
        <w:rPr>
          <w:rFonts w:hint="eastAsia" w:ascii="宋体" w:hAnsi="宋体" w:eastAsia="宋体" w:cs="宋体"/>
          <w:b w:val="0"/>
          <w:bCs w:val="0"/>
          <w:color w:val="auto"/>
          <w:sz w:val="32"/>
          <w:szCs w:val="60"/>
          <w:highlight w:val="none"/>
        </w:rPr>
        <w:t xml:space="preserve">采购需求</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_Toc18997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4</w:t>
      </w:r>
      <w:r>
        <w:rPr>
          <w:rFonts w:hint="eastAsia" w:ascii="宋体" w:hAnsi="宋体" w:eastAsia="宋体" w:cs="宋体"/>
          <w:b w:val="0"/>
          <w:bCs w:val="0"/>
          <w:color w:val="auto"/>
          <w:sz w:val="32"/>
          <w:szCs w:val="40"/>
          <w:highlight w:val="none"/>
        </w:rPr>
        <w:t xml:space="preserve">3</w:t>
        <w:fldChar w:fldCharType="end"/>
      </w:r>
      <w:r>
        <w:rPr>
          <w:rFonts w:hint="eastAsia" w:ascii="宋体" w:hAnsi="宋体" w:eastAsia="宋体" w:cs="宋体"/>
          <w:b w:val="0"/>
          <w:bCs w:val="0"/>
          <w:color w:val="auto"/>
          <w:sz w:val="32"/>
          <w:szCs w:val="60"/>
          <w:highlight w:val="none"/>
        </w:rPr>
        <w:fldChar w:fldCharType="end"/>
      </w:r>
      <w:r/>
    </w:p>
    <w:p>
      <w:pPr>
        <w:pStyle w:val="770"/>
        <w:keepLines w:val="0"/>
        <w:keepNext w:val="0"/>
        <w:pageBreakBefore w:val="0"/>
        <w:spacing w:line="480" w:lineRule="auto"/>
        <w:widowControl w:val="off"/>
        <w:tabs>
          <w:tab w:val="right" w:pos="9638" w:leader="dot"/>
        </w:tabs>
        <w:rPr>
          <w:rFonts w:hint="eastAsia" w:ascii="宋体" w:hAnsi="宋体" w:eastAsia="宋体" w:cs="宋体"/>
          <w:b w:val="0"/>
          <w:bCs w:val="0"/>
          <w:color w:val="auto"/>
          <w:sz w:val="32"/>
          <w:szCs w:val="40"/>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_Toc28340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60"/>
          <w:highlight w:val="none"/>
        </w:rPr>
        <w:t xml:space="preserve">第五章 评标方法与评标标准</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_Toc28340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73</w:t>
      </w:r>
      <w:r>
        <w:rPr>
          <w:rFonts w:hint="eastAsia" w:ascii="宋体" w:hAnsi="宋体" w:eastAsia="宋体" w:cs="宋体"/>
          <w:b w:val="0"/>
          <w:bCs w:val="0"/>
          <w:color w:val="auto"/>
          <w:sz w:val="32"/>
          <w:szCs w:val="40"/>
          <w:highlight w:val="none"/>
        </w:rPr>
        <w:fldChar w:fldCharType="end"/>
      </w:r>
      <w:r>
        <w:rPr>
          <w:rFonts w:hint="eastAsia" w:ascii="宋体" w:hAnsi="宋体" w:eastAsia="宋体" w:cs="宋体"/>
          <w:b w:val="0"/>
          <w:bCs w:val="0"/>
          <w:color w:val="auto"/>
          <w:sz w:val="32"/>
          <w:szCs w:val="60"/>
          <w:highlight w:val="none"/>
        </w:rPr>
        <w:fldChar w:fldCharType="end"/>
      </w:r>
      <w:r/>
    </w:p>
    <w:p>
      <w:pPr>
        <w:pStyle w:val="770"/>
        <w:keepLines w:val="0"/>
        <w:keepNext w:val="0"/>
        <w:pageBreakBefore w:val="0"/>
        <w:spacing w:line="480" w:lineRule="auto"/>
        <w:widowControl w:val="off"/>
        <w:tabs>
          <w:tab w:val="right" w:pos="9638" w:leader="dot"/>
        </w:tabs>
        <w:rPr>
          <w:rFonts w:hint="eastAsia" w:ascii="宋体" w:hAnsi="宋体" w:eastAsia="宋体" w:cs="宋体"/>
          <w:color w:val="auto"/>
          <w:highlight w:val="none"/>
        </w:rPr>
      </w:pPr>
      <w:r>
        <w:rPr>
          <w:rFonts w:hint="eastAsia" w:ascii="宋体" w:hAnsi="宋体" w:eastAsia="宋体" w:cs="宋体"/>
          <w:b w:val="0"/>
          <w:bCs w:val="0"/>
          <w:color w:val="auto"/>
          <w:sz w:val="32"/>
          <w:szCs w:val="60"/>
          <w:highlight w:val="none"/>
        </w:rPr>
        <w:fldChar w:fldCharType="begin"/>
      </w:r>
      <w:r>
        <w:rPr>
          <w:rFonts w:hint="eastAsia" w:ascii="宋体" w:hAnsi="宋体" w:eastAsia="宋体" w:cs="宋体"/>
          <w:b w:val="0"/>
          <w:bCs w:val="0"/>
          <w:color w:val="auto"/>
          <w:sz w:val="32"/>
          <w:szCs w:val="60"/>
          <w:highlight w:val="none"/>
        </w:rPr>
        <w:instrText xml:space="preserve"> HYPERLINK \l _Toc20321 </w:instrText>
      </w:r>
      <w:r>
        <w:rPr>
          <w:rFonts w:hint="eastAsia" w:ascii="宋体" w:hAnsi="宋体" w:eastAsia="宋体" w:cs="宋体"/>
          <w:b w:val="0"/>
          <w:bCs w:val="0"/>
          <w:color w:val="auto"/>
          <w:sz w:val="32"/>
          <w:szCs w:val="60"/>
          <w:highlight w:val="none"/>
        </w:rPr>
        <w:fldChar w:fldCharType="separate"/>
      </w:r>
      <w:r>
        <w:rPr>
          <w:rFonts w:hint="eastAsia" w:ascii="宋体" w:hAnsi="宋体" w:eastAsia="宋体" w:cs="宋体"/>
          <w:b w:val="0"/>
          <w:bCs w:val="0"/>
          <w:color w:val="auto"/>
          <w:sz w:val="32"/>
          <w:szCs w:val="40"/>
          <w:highlight w:val="none"/>
        </w:rPr>
        <w:t xml:space="preserve">第六章 投标文件格式</w:t>
      </w:r>
      <w:r>
        <w:rPr>
          <w:rFonts w:hint="eastAsia" w:ascii="宋体" w:hAnsi="宋体" w:eastAsia="宋体" w:cs="宋体"/>
          <w:b w:val="0"/>
          <w:bCs w:val="0"/>
          <w:color w:val="auto"/>
          <w:sz w:val="32"/>
          <w:szCs w:val="40"/>
          <w:highlight w:val="none"/>
        </w:rPr>
        <w:tab/>
      </w:r>
      <w:r>
        <w:rPr>
          <w:rFonts w:hint="eastAsia" w:ascii="宋体" w:hAnsi="宋体" w:eastAsia="宋体" w:cs="宋体"/>
          <w:b w:val="0"/>
          <w:bCs w:val="0"/>
          <w:color w:val="auto"/>
          <w:sz w:val="32"/>
          <w:szCs w:val="40"/>
          <w:highlight w:val="none"/>
        </w:rPr>
        <w:fldChar w:fldCharType="begin"/>
      </w:r>
      <w:r>
        <w:rPr>
          <w:rFonts w:hint="eastAsia" w:ascii="宋体" w:hAnsi="宋体" w:eastAsia="宋体" w:cs="宋体"/>
          <w:b w:val="0"/>
          <w:bCs w:val="0"/>
          <w:color w:val="auto"/>
          <w:sz w:val="32"/>
          <w:szCs w:val="40"/>
          <w:highlight w:val="none"/>
        </w:rPr>
        <w:instrText xml:space="preserve"> PAGEREF _Toc20321 \h </w:instrText>
      </w:r>
      <w:r>
        <w:rPr>
          <w:rFonts w:hint="eastAsia" w:ascii="宋体" w:hAnsi="宋体" w:eastAsia="宋体" w:cs="宋体"/>
          <w:b w:val="0"/>
          <w:bCs w:val="0"/>
          <w:color w:val="auto"/>
          <w:sz w:val="32"/>
          <w:szCs w:val="40"/>
          <w:highlight w:val="none"/>
        </w:rPr>
        <w:fldChar w:fldCharType="separate"/>
      </w:r>
      <w:r>
        <w:rPr>
          <w:rFonts w:hint="eastAsia" w:ascii="宋体" w:hAnsi="宋体" w:eastAsia="宋体" w:cs="宋体"/>
          <w:b w:val="0"/>
          <w:bCs w:val="0"/>
          <w:color w:val="auto"/>
          <w:sz w:val="32"/>
          <w:szCs w:val="40"/>
          <w:highlight w:val="none"/>
        </w:rPr>
        <w:t xml:space="preserve">7</w:t>
      </w:r>
      <w:r>
        <w:rPr>
          <w:rFonts w:hint="eastAsia" w:ascii="宋体" w:hAnsi="宋体" w:eastAsia="宋体" w:cs="宋体"/>
          <w:b w:val="0"/>
          <w:bCs w:val="0"/>
          <w:color w:val="auto"/>
          <w:sz w:val="32"/>
          <w:szCs w:val="40"/>
          <w:highlight w:val="none"/>
        </w:rPr>
        <w:t xml:space="preserve">8</w:t>
        <w:fldChar w:fldCharType="end"/>
      </w:r>
      <w:r>
        <w:rPr>
          <w:rFonts w:hint="eastAsia" w:ascii="宋体" w:hAnsi="宋体" w:eastAsia="宋体" w:cs="宋体"/>
          <w:b w:val="0"/>
          <w:bCs w:val="0"/>
          <w:color w:val="auto"/>
          <w:sz w:val="32"/>
          <w:szCs w:val="60"/>
          <w:highlight w:val="none"/>
        </w:rPr>
        <w:fldChar w:fldCharType="end"/>
      </w:r>
      <w:r/>
    </w:p>
    <w:p>
      <w:pPr>
        <w:pStyle w:val="971"/>
        <w:jc w:val="center"/>
        <w:spacing w:beforeAutospacing="0" w:afterAutospacing="0"/>
        <w:rPr>
          <w:rFonts w:hint="eastAsia" w:ascii="宋体" w:hAnsi="宋体" w:eastAsia="宋体" w:cs="宋体"/>
          <w:color w:val="auto"/>
          <w:sz w:val="24"/>
          <w:szCs w:val="44"/>
          <w:highlight w:val="none"/>
          <w:lang w:val="en-US" w:eastAsia="zh-CN" w:bidi="ar-SA"/>
        </w:rPr>
        <w:outlineLvl w:val="9"/>
      </w:pPr>
      <w:r>
        <w:rPr>
          <w:rFonts w:hint="eastAsia" w:ascii="宋体" w:hAnsi="宋体" w:eastAsia="宋体" w:cs="宋体"/>
          <w:color w:val="auto"/>
          <w:szCs w:val="44"/>
          <w:highlight w:val="none"/>
        </w:rPr>
        <w:fldChar w:fldCharType="end"/>
      </w:r>
      <w:r/>
    </w:p>
    <w:p>
      <w:pPr>
        <w:pStyle w:val="971"/>
        <w:jc w:val="center"/>
        <w:spacing w:beforeAutospacing="0" w:afterAutospacing="0"/>
        <w:rPr>
          <w:rFonts w:hint="eastAsia" w:ascii="宋体" w:hAnsi="宋体" w:eastAsia="宋体" w:cs="宋体"/>
          <w:color w:val="auto"/>
          <w:sz w:val="24"/>
          <w:szCs w:val="44"/>
          <w:highlight w:val="none"/>
          <w:lang w:val="en-US" w:eastAsia="zh-CN" w:bidi="ar-SA"/>
        </w:rPr>
        <w:sectPr>
          <w:footerReference w:type="default" r:id="rId13"/>
          <w:footnotePr/>
          <w:endnotePr/>
          <w:type w:val="nextPage"/>
          <w:pgSz w:w="11906" w:h="16838" w:orient="portrait"/>
          <w:pgMar w:top="1134" w:right="1134" w:bottom="1134" w:left="1134" w:header="851" w:footer="992" w:gutter="0"/>
          <w:pgNumType w:start="1"/>
          <w:cols w:num="1" w:sep="0" w:space="0" w:equalWidth="1"/>
          <w:docGrid w:linePitch="360"/>
        </w:sectPr>
        <w:outlineLvl w:val="9"/>
      </w:pPr>
      <w:r>
        <w:rPr>
          <w:rFonts w:hint="eastAsia" w:ascii="宋体" w:hAnsi="宋体" w:eastAsia="宋体" w:cs="宋体"/>
          <w:color w:val="auto"/>
          <w:sz w:val="24"/>
          <w:szCs w:val="44"/>
          <w:highlight w:val="none"/>
          <w:lang w:val="en-US" w:eastAsia="zh-CN" w:bidi="ar-SA"/>
        </w:rPr>
      </w:r>
      <w:r/>
    </w:p>
    <w:p>
      <w:pPr>
        <w:pStyle w:val="971"/>
        <w:jc w:val="center"/>
        <w:spacing w:beforeAutospacing="0" w:afterAutospacing="0"/>
        <w:rPr>
          <w:rFonts w:hint="eastAsia" w:ascii="宋体" w:hAnsi="宋体" w:eastAsia="宋体" w:cs="宋体"/>
          <w:color w:val="auto"/>
          <w:sz w:val="44"/>
          <w:szCs w:val="44"/>
          <w:highlight w:val="none"/>
        </w:rPr>
        <w:outlineLvl w:val="0"/>
      </w:pPr>
      <w:r/>
      <w:bookmarkStart w:id="0" w:name="_Toc1413"/>
      <w:r>
        <w:rPr>
          <w:rFonts w:hint="eastAsia" w:ascii="宋体" w:hAnsi="宋体" w:eastAsia="宋体" w:cs="宋体"/>
          <w:color w:val="auto"/>
          <w:sz w:val="44"/>
          <w:szCs w:val="44"/>
          <w:highlight w:val="none"/>
        </w:rPr>
        <w:t xml:space="preserve">第一章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招标公告</w:t>
      </w:r>
      <w:bookmarkEnd w:id="0"/>
      <w:r/>
      <w:r/>
    </w:p>
    <w:p>
      <w:pPr>
        <w:ind w:firstLine="480"/>
        <w:jc w:val="left"/>
        <w:keepLines w:val="0"/>
        <w:keepNext w:val="0"/>
        <w:pageBreakBefore w:val="0"/>
        <w:spacing w:line="52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keepLines w:val="0"/>
        <w:keepNext w:val="0"/>
        <w:pageBreakBefore w:val="0"/>
        <w:spacing w:line="520" w:lineRule="exact"/>
        <w:widowControl/>
        <w:rPr>
          <w:rFonts w:hint="eastAsia"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u w:val="single"/>
        </w:rPr>
        <w:t xml:space="preserve">盐城市第一人民医院</w:t>
      </w:r>
      <w:r>
        <w:rPr>
          <w:rFonts w:hint="eastAsia" w:ascii="宋体" w:hAnsi="宋体" w:eastAsia="宋体" w:cs="宋体"/>
          <w:color w:val="auto"/>
          <w:sz w:val="24"/>
          <w:szCs w:val="20"/>
          <w:highlight w:val="none"/>
          <w:u w:val="single"/>
          <w:lang w:val="en-US" w:eastAsia="zh-CN"/>
        </w:rPr>
        <w:t xml:space="preserve">南院区</w:t>
      </w:r>
      <w:r>
        <w:rPr>
          <w:rFonts w:hint="eastAsia" w:ascii="宋体" w:hAnsi="宋体" w:eastAsia="宋体" w:cs="宋体"/>
          <w:color w:val="auto"/>
          <w:sz w:val="24"/>
          <w:szCs w:val="20"/>
          <w:highlight w:val="none"/>
          <w:u w:val="single"/>
        </w:rPr>
        <w:t xml:space="preserve">物业服务</w:t>
      </w:r>
      <w:r>
        <w:rPr>
          <w:rFonts w:hint="eastAsia" w:ascii="宋体" w:hAnsi="宋体" w:eastAsia="宋体" w:cs="宋体"/>
          <w:color w:val="auto"/>
          <w:sz w:val="24"/>
          <w:szCs w:val="20"/>
          <w:highlight w:val="none"/>
        </w:rPr>
        <w:t xml:space="preserve">招标项目的潜在投标人</w:t>
      </w:r>
      <w:r>
        <w:rPr>
          <w:rFonts w:hint="eastAsia" w:ascii="宋体" w:hAnsi="宋体" w:eastAsia="宋体" w:cs="宋体"/>
          <w:color w:val="auto"/>
          <w:sz w:val="24"/>
          <w:szCs w:val="20"/>
          <w:highlight w:val="none"/>
          <w:lang w:val="en-US" w:eastAsia="zh-CN"/>
        </w:rPr>
        <w:t xml:space="preserve">应</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rPr>
        <w:t xml:space="preserve">并于</w:t>
      </w:r>
      <w:r>
        <w:rPr>
          <w:rFonts w:hint="eastAsia" w:ascii="宋体" w:hAnsi="宋体" w:eastAsia="宋体" w:cs="宋体"/>
          <w:color w:val="auto"/>
          <w:sz w:val="24"/>
          <w:highlight w:val="none"/>
        </w:rPr>
        <w:t xml:space="preserve">（2025-12-16 09:30 </w:t>
      </w:r>
      <w:r>
        <w:rPr>
          <w:rFonts w:hint="eastAsia" w:ascii="宋体" w:hAnsi="宋体" w:eastAsia="宋体" w:cs="宋体"/>
          <w:color w:val="auto"/>
          <w:sz w:val="24"/>
          <w:highlight w:val="none"/>
        </w:rPr>
        <w:t xml:space="preserve">北京时间）前递交投标文件。</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一、项目基本情况</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1.项目编号：JSZC-320900-JZCG-G2025-0061</w:t>
      </w:r>
      <w:bookmarkStart w:id="23" w:name="_GoBack"/>
      <w:r/>
      <w:bookmarkEnd w:id="23"/>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盐城市第一人民医院</w:t>
      </w:r>
      <w:r>
        <w:rPr>
          <w:rFonts w:hint="eastAsia" w:ascii="宋体" w:hAnsi="宋体" w:eastAsia="宋体" w:cs="宋体"/>
          <w:color w:val="auto"/>
          <w:sz w:val="24"/>
          <w:szCs w:val="20"/>
          <w:highlight w:val="none"/>
          <w:lang w:val="en-US" w:eastAsia="zh-CN"/>
        </w:rPr>
        <w:t xml:space="preserve">南院区</w:t>
      </w:r>
      <w:r>
        <w:rPr>
          <w:rFonts w:hint="eastAsia" w:ascii="宋体" w:hAnsi="宋体" w:eastAsia="宋体" w:cs="宋体"/>
          <w:color w:val="auto"/>
          <w:sz w:val="24"/>
          <w:szCs w:val="20"/>
          <w:highlight w:val="none"/>
          <w:lang w:eastAsia="zh-CN"/>
        </w:rPr>
        <w:t xml:space="preserve">物业服务项目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ascii="宋体" w:hAnsi="宋体" w:eastAsia="宋体" w:cs="宋体"/>
          <w:color w:val="auto"/>
          <w:sz w:val="24"/>
          <w:szCs w:val="20"/>
          <w:highlight w:val="none"/>
          <w:lang w:val="en-US" w:eastAsia="zh-CN"/>
        </w:rPr>
        <w:t xml:space="preserve">17</w:t>
      </w:r>
      <w:r>
        <w:rPr>
          <w:rFonts w:hint="eastAsia" w:ascii="宋体" w:hAnsi="宋体" w:eastAsia="宋体" w:cs="宋体"/>
          <w:color w:val="auto"/>
          <w:sz w:val="24"/>
          <w:szCs w:val="20"/>
          <w:highlight w:val="none"/>
          <w:lang w:eastAsia="zh-CN"/>
        </w:rPr>
        <w:t xml:space="preserve">20万元</w:t>
      </w:r>
      <w:r>
        <w:rPr>
          <w:rFonts w:hint="eastAsia" w:ascii="宋体" w:hAnsi="宋体" w:cs="宋体"/>
          <w:color w:val="auto"/>
          <w:sz w:val="24"/>
          <w:szCs w:val="20"/>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eastAsia="宋体" w:cs="宋体"/>
          <w:color w:val="auto"/>
          <w:sz w:val="24"/>
          <w:szCs w:val="20"/>
          <w:highlight w:val="none"/>
          <w:lang w:val="en-US" w:eastAsia="zh-CN"/>
        </w:rPr>
        <w:t xml:space="preserve">17</w:t>
      </w:r>
      <w:r>
        <w:rPr>
          <w:rFonts w:hint="eastAsia" w:ascii="宋体" w:hAnsi="宋体" w:eastAsia="宋体" w:cs="宋体"/>
          <w:color w:val="auto"/>
          <w:sz w:val="24"/>
          <w:szCs w:val="20"/>
          <w:highlight w:val="none"/>
          <w:lang w:eastAsia="zh-CN"/>
        </w:rPr>
        <w:t xml:space="preserve">20万元</w:t>
      </w:r>
      <w:r>
        <w:rPr>
          <w:rFonts w:hint="eastAsia" w:ascii="宋体" w:hAnsi="宋体" w:eastAsia="宋体" w:cs="宋体"/>
          <w:color w:val="auto"/>
          <w:sz w:val="24"/>
          <w:szCs w:val="20"/>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6.采购需求（简介）：</w:t>
      </w:r>
      <w:r>
        <w:rPr>
          <w:rFonts w:hint="eastAsia" w:ascii="宋体" w:hAnsi="宋体" w:eastAsia="宋体" w:cs="宋体"/>
          <w:color w:val="auto"/>
          <w:sz w:val="24"/>
          <w:szCs w:val="20"/>
          <w:highlight w:val="none"/>
          <w:lang w:val="en-US" w:eastAsia="zh-CN"/>
        </w:rPr>
        <w:t xml:space="preserve">主要</w:t>
      </w:r>
      <w:r>
        <w:rPr>
          <w:rFonts w:hint="eastAsia" w:ascii="宋体" w:hAnsi="宋体" w:eastAsia="宋体" w:cs="宋体"/>
          <w:color w:val="auto"/>
          <w:sz w:val="24"/>
          <w:szCs w:val="20"/>
          <w:highlight w:val="none"/>
        </w:rPr>
        <w:t xml:space="preserve">包含但不限于盐城市第一人民医院</w:t>
      </w:r>
      <w:r>
        <w:rPr>
          <w:rFonts w:hint="eastAsia" w:ascii="宋体" w:hAnsi="宋体" w:eastAsia="宋体" w:cs="宋体"/>
          <w:color w:val="auto"/>
          <w:sz w:val="24"/>
          <w:szCs w:val="20"/>
          <w:highlight w:val="none"/>
          <w:lang w:val="en-US" w:eastAsia="zh-CN"/>
        </w:rPr>
        <w:t xml:space="preserve">主院区</w:t>
      </w:r>
      <w:r>
        <w:rPr>
          <w:rFonts w:hint="eastAsia" w:ascii="宋体" w:hAnsi="宋体" w:eastAsia="宋体" w:cs="宋体"/>
          <w:color w:val="auto"/>
          <w:sz w:val="24"/>
          <w:szCs w:val="20"/>
          <w:highlight w:val="none"/>
        </w:rPr>
        <w:t xml:space="preserve">室内外保洁服务、陪检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配送、医技工勤、后勤技术工种（水电维修等）、收费员等业务及保洁工具、耗材采购等及招标文件规定的其他协助工作。（详细内容见本招标文件第四章）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7.合同履行期限：一年。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highlight w:val="none"/>
        </w:rPr>
        <w:t xml:space="preserve">本项目（是/否）接受联合体投标：否。</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1.满足《中华人民共和国政府采购法》第二十二条规定，并提供下列材料：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1.1法人或者其他组织的营业执照等证明文件，自然人的身份证明。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1.2上一年度的财务状况报</w:t>
      </w:r>
      <w:r>
        <w:rPr>
          <w:rFonts w:hint="eastAsia" w:ascii="宋体" w:hAnsi="宋体" w:eastAsia="宋体" w:cs="宋体"/>
          <w:color w:val="auto"/>
          <w:sz w:val="24"/>
          <w:szCs w:val="20"/>
          <w:highlight w:val="none"/>
          <w:lang w:val="en-US" w:eastAsia="zh-CN"/>
        </w:rPr>
        <w:t xml:space="preserve">告</w:t>
      </w:r>
      <w:r>
        <w:rPr>
          <w:rFonts w:hint="eastAsia" w:ascii="宋体" w:hAnsi="宋体" w:eastAsia="宋体" w:cs="宋体"/>
          <w:color w:val="auto"/>
          <w:sz w:val="24"/>
          <w:szCs w:val="20"/>
          <w:highlight w:val="none"/>
        </w:rPr>
        <w:t xml:space="preserve">（成立不满一年无需提供）。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1.3具备履行合同所必需的设备和专业技术能力的书面声明。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1.5参加政府采购活动前3年内在经营活动中没有重大违法记录的书面声明。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1.6法律、行政法规规定的其他条件。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1.8单位负责人为同一人或者存在直接控股、管理关系的不同供应商，不得参加同一合同项下的政府采购活动。（投标文件中需提供</w:t>
      </w:r>
      <w:r>
        <w:rPr>
          <w:rFonts w:hint="eastAsia" w:ascii="宋体" w:hAnsi="宋体" w:eastAsia="宋体" w:cs="宋体"/>
          <w:color w:val="auto"/>
          <w:sz w:val="24"/>
          <w:szCs w:val="20"/>
          <w:highlight w:val="none"/>
          <w:lang w:eastAsia="zh-CN"/>
        </w:rPr>
        <w:t xml:space="preserve">声明</w:t>
      </w:r>
      <w:r>
        <w:rPr>
          <w:rFonts w:hint="eastAsia" w:ascii="宋体" w:hAnsi="宋体" w:eastAsia="宋体" w:cs="宋体"/>
          <w:color w:val="auto"/>
          <w:sz w:val="24"/>
          <w:szCs w:val="20"/>
          <w:highlight w:val="none"/>
        </w:rPr>
        <w:t xml:space="preserve">）</w:t>
      </w:r>
      <w:r/>
    </w:p>
    <w:p>
      <w:pPr>
        <w:numPr>
          <w:ilvl w:val="0"/>
          <w:numId w:val="0"/>
        </w:numPr>
        <w:ind w:left="6" w:right="209" w:firstLine="470"/>
        <w:jc w:val="both"/>
        <w:keepLines w:val="0"/>
        <w:keepNext w:val="0"/>
        <w:pageBreakBefore w:val="0"/>
        <w:spacing w:line="520" w:lineRule="exact"/>
        <w:widowControl w:val="off"/>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bidi="ar-SA"/>
        </w:rPr>
        <w:t xml:space="preserve">2.</w:t>
      </w:r>
      <w:r>
        <w:rPr>
          <w:rFonts w:hint="eastAsia" w:ascii="宋体" w:hAnsi="宋体" w:eastAsia="宋体" w:cs="宋体"/>
          <w:b/>
          <w:bCs/>
          <w:color w:val="auto"/>
          <w:sz w:val="24"/>
          <w:szCs w:val="20"/>
          <w:highlight w:val="none"/>
        </w:rPr>
        <w:t xml:space="preserve">落实政府采购政策需满足的资格要求：</w:t>
      </w:r>
      <w:r>
        <w:rPr>
          <w:rFonts w:hint="eastAsia" w:ascii="宋体" w:hAnsi="宋体" w:eastAsia="宋体" w:cs="宋体"/>
          <w:b/>
          <w:bCs/>
          <w:color w:val="auto"/>
          <w:spacing w:val="-1"/>
          <w:sz w:val="24"/>
          <w:szCs w:val="24"/>
          <w:highlight w:val="none"/>
        </w:rPr>
        <w:t xml:space="preserve">本项目专门面向中小</w:t>
      </w:r>
      <w:r>
        <w:rPr>
          <w:rFonts w:hint="eastAsia" w:ascii="宋体" w:hAnsi="宋体" w:eastAsia="宋体" w:cs="宋体"/>
          <w:b/>
          <w:bCs/>
          <w:color w:val="auto"/>
          <w:spacing w:val="-2"/>
          <w:sz w:val="24"/>
          <w:szCs w:val="24"/>
          <w:highlight w:val="none"/>
        </w:rPr>
        <w:t xml:space="preserve">企业采购。采购标的的所属行业为物业管理，投标人需按照采购文件的要求提供相应的《中小企业声明函》。企业标准请参照《关于印发中小企业划型标准规定的通知》（工</w:t>
      </w:r>
      <w:r>
        <w:rPr>
          <w:rFonts w:hint="eastAsia" w:ascii="宋体" w:hAnsi="宋体" w:eastAsia="宋体" w:cs="宋体"/>
          <w:b/>
          <w:bCs/>
          <w:color w:val="auto"/>
          <w:spacing w:val="-3"/>
          <w:sz w:val="24"/>
          <w:szCs w:val="24"/>
          <w:highlight w:val="none"/>
        </w:rPr>
        <w:t xml:space="preserve">信部联企业</w:t>
      </w:r>
      <w:r>
        <w:rPr>
          <w:rFonts w:hint="eastAsia" w:ascii="宋体" w:hAnsi="宋体" w:eastAsia="宋体" w:cs="宋体"/>
          <w:b/>
          <w:bCs/>
          <w:color w:val="auto"/>
          <w:spacing w:val="-3"/>
          <w:sz w:val="24"/>
          <w:szCs w:val="24"/>
          <w:highlight w:val="none"/>
          <w:lang w:eastAsia="zh-CN"/>
        </w:rPr>
        <w:t xml:space="preserve">〔2011〕300号</w:t>
      </w:r>
      <w:r>
        <w:rPr>
          <w:rFonts w:hint="eastAsia" w:ascii="宋体" w:hAnsi="宋体" w:eastAsia="宋体" w:cs="宋体"/>
          <w:b/>
          <w:bCs/>
          <w:color w:val="auto"/>
          <w:spacing w:val="-3"/>
          <w:sz w:val="24"/>
          <w:szCs w:val="24"/>
          <w:highlight w:val="none"/>
        </w:rPr>
        <w:t xml:space="preserve">）文件规定自行填写。</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rPr>
        <w:t xml:space="preserve">本项目的特定资格要求：无。</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三、获取招标文件</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1.时间：自招标文件公告发布之日起5个工作日。</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2.地点：“苏采云”系统内免费下载（供应商必须在苏采云系统中获取采购文件，方能参与政府采购项目）。</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3.方式：本项目采用网上注册登记方式。</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4.售价：0元。</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四、提交投标文件截止时间、开标时间和地点</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rPr>
        <w:t xml:space="preserve">2025-12-16 09:30 （北京时间）</w:t>
      </w:r>
      <w:r>
        <w:rPr>
          <w:rFonts w:hint="eastAsia" w:ascii="宋体" w:hAnsi="宋体" w:eastAsia="宋体" w:cs="宋体"/>
          <w:color w:val="auto"/>
          <w:sz w:val="24"/>
          <w:highlight w:val="none"/>
        </w:rPr>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2.地点：苏采云“不见面”开标大厅。</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五、公告期限</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自本公告发布之日起5个工作日。</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六、其他补充事宜</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《苏采云系统供应商操作手册》：在盐城市政府采购网点击【办事指南】-【供应商参与政府采购活动相关资料】。</w:t>
      </w:r>
      <w:r/>
    </w:p>
    <w:p>
      <w:pPr>
        <w:ind w:firstLine="480"/>
        <w:keepLines w:val="0"/>
        <w:keepNext w:val="0"/>
        <w:pageBreakBefore w:val="0"/>
        <w:spacing w:line="520" w:lineRule="exact"/>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2.潜在供应商访问电子招标响应交易平台的网络地址和方法：</w:t>
      </w:r>
      <w:r/>
    </w:p>
    <w:p>
      <w:pPr>
        <w:ind w:firstLine="480"/>
        <w:keepLines w:val="0"/>
        <w:keepNext w:val="0"/>
        <w:pageBreakBefore w:val="0"/>
        <w:spacing w:line="520" w:lineRule="exact"/>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keepLines w:val="0"/>
        <w:keepNext w:val="0"/>
        <w:pageBreakBefore w:val="0"/>
        <w:spacing w:line="520" w:lineRule="exact"/>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2.2潜在供应商访问“苏采云”系统方法：江苏省政府采购网首页-“苏采云”链接。</w:t>
      </w:r>
      <w:r/>
    </w:p>
    <w:p>
      <w:pPr>
        <w:ind w:firstLine="480"/>
        <w:keepLines w:val="0"/>
        <w:keepNext w:val="0"/>
        <w:pageBreakBefore w:val="0"/>
        <w:spacing w:line="520" w:lineRule="exact"/>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2.3采购文件（后缀名为“.kedt”）、供应商操作手册及政府采购客户端工具可通过“苏采云”系统相应链接进行下载。</w:t>
      </w:r>
      <w:r/>
    </w:p>
    <w:p>
      <w:pPr>
        <w:ind w:firstLine="480"/>
        <w:keepLines w:val="0"/>
        <w:keepNext w:val="0"/>
        <w:pageBreakBefore w:val="0"/>
        <w:spacing w:line="520" w:lineRule="exact"/>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2.4采购代理机构将数据电文形式的采购文件加载至“苏采云”系统，供潜在供应商下载或者查阅。</w:t>
      </w:r>
      <w:r/>
    </w:p>
    <w:p>
      <w:pPr>
        <w:ind w:firstLine="480"/>
        <w:keepLines w:val="0"/>
        <w:keepNext w:val="0"/>
        <w:pageBreakBefore w:val="0"/>
        <w:spacing w:line="520" w:lineRule="exact"/>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2.5请潜在投标单位提前安装相应的控件（详见《“苏采云”系统供应商操作手册》）并使用谷歌浏览器登录“苏采云”系统参与不见面开评标。</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如潜在供应商未按上述要求操作，将自行承担所产生的风险。</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3.有关本次招标的事项若存在变动或修改，敬请及时关注盐城市政府采购中心在“中国政府采购网”、“江苏政府采购网”、“盐城市政府采购网”发布的更正公告。</w:t>
      </w:r>
      <w:r/>
    </w:p>
    <w:p>
      <w:pPr>
        <w:ind w:firstLine="480"/>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4.本次招标不收取投标保证金，不收取质量保证金。</w:t>
      </w:r>
      <w:r/>
    </w:p>
    <w:p>
      <w:pPr>
        <w:ind w:firstLine="482"/>
        <w:keepLines w:val="0"/>
        <w:keepNext w:val="0"/>
        <w:pageBreakBefore w:val="0"/>
        <w:spacing w:line="52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七、对本次招标提出询问，请按以下方式联系。</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1.采购人信息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w:t>
      </w:r>
      <w:r>
        <w:rPr>
          <w:rFonts w:hint="eastAsia" w:ascii="宋体" w:hAnsi="宋体" w:eastAsia="宋体" w:cs="宋体"/>
          <w:color w:val="auto"/>
          <w:sz w:val="24"/>
          <w:szCs w:val="20"/>
          <w:highlight w:val="none"/>
          <w:lang w:eastAsia="zh-CN"/>
        </w:rPr>
        <w:t xml:space="preserve">盐城市第一人民医院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地址：盐城市</w:t>
      </w:r>
      <w:r>
        <w:rPr>
          <w:rFonts w:hint="eastAsia" w:ascii="宋体" w:hAnsi="宋体" w:eastAsia="宋体" w:cs="宋体"/>
          <w:color w:val="auto"/>
          <w:sz w:val="24"/>
          <w:szCs w:val="20"/>
          <w:highlight w:val="none"/>
          <w:lang w:val="en-US" w:eastAsia="zh-CN"/>
        </w:rPr>
        <w:t xml:space="preserve">人民南路66号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eastAsia="宋体" w:cs="宋体"/>
          <w:color w:val="auto"/>
          <w:sz w:val="24"/>
          <w:szCs w:val="20"/>
          <w:highlight w:val="none"/>
          <w:lang w:val="en-US" w:eastAsia="zh-CN"/>
        </w:rPr>
        <w:t xml:space="preserve">何老师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联系电话：0515-66696855</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名称：盐城市政府采购中心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地址：盐城市府西路1号市公共资源交易中心5楼</w:t>
      </w:r>
      <w:r/>
    </w:p>
    <w:p>
      <w:pPr>
        <w:ind w:firstLine="480"/>
        <w:jc w:val="left"/>
        <w:keepLines w:val="0"/>
        <w:keepNext w:val="0"/>
        <w:pageBreakBefore w:val="0"/>
        <w:spacing w:line="52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联系人：</w:t>
      </w:r>
      <w:r>
        <w:rPr>
          <w:rFonts w:hint="eastAsia" w:ascii="宋体" w:hAnsi="宋体" w:cs="宋体"/>
          <w:color w:val="auto"/>
          <w:sz w:val="24"/>
          <w:szCs w:val="20"/>
          <w:highlight w:val="none"/>
          <w:lang w:val="en-US" w:eastAsia="zh-CN"/>
        </w:rPr>
        <w:t xml:space="preserve">刘先生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联系方式：0515-69083502</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3.项目联系方式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项目联系人：</w:t>
      </w:r>
      <w:r>
        <w:rPr>
          <w:rFonts w:hint="eastAsia" w:ascii="宋体" w:hAnsi="宋体" w:cs="宋体"/>
          <w:color w:val="auto"/>
          <w:sz w:val="24"/>
          <w:szCs w:val="20"/>
          <w:highlight w:val="none"/>
          <w:lang w:val="en-US" w:eastAsia="zh-CN"/>
        </w:rPr>
        <w:t xml:space="preserve">刘先生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电话：0515-69083502</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971"/>
        <w:jc w:val="center"/>
        <w:spacing w:beforeAutospacing="0" w:afterAutospacing="0"/>
        <w:rPr>
          <w:rFonts w:hint="eastAsia" w:ascii="宋体" w:hAnsi="宋体" w:eastAsia="宋体" w:cs="宋体"/>
          <w:color w:val="auto"/>
          <w:sz w:val="44"/>
          <w:szCs w:val="44"/>
          <w:highlight w:val="none"/>
        </w:rPr>
        <w:outlineLvl w:val="0"/>
      </w:pPr>
      <w:r/>
      <w:bookmarkStart w:id="1" w:name="_Toc23635"/>
      <w:r>
        <w:rPr>
          <w:rFonts w:hint="eastAsia" w:ascii="宋体" w:hAnsi="宋体" w:eastAsia="宋体" w:cs="宋体"/>
          <w:color w:val="auto"/>
          <w:sz w:val="44"/>
          <w:szCs w:val="44"/>
          <w:highlight w:val="none"/>
        </w:rPr>
        <w:t xml:space="preserve">第二章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投标人须知</w:t>
      </w:r>
      <w:bookmarkEnd w:id="1"/>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1、招标方式</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2、合格的投标人</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3、适用法律</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5、招标文件的约束力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6、招标文件构成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7、招标文件的澄清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8、招标文件的修改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9、投标文件的语言及度量衡单位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10、投标文件构成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11、证明投标人及投标标的符合招标文件规定的文件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分项报价表，不仅应包括所有人员的工资、法定节假日加班费、社保、公积金、福利费，还应包括：管理、劳务、培训、风险、税金、合理利润及政策性文件规定等各项应有费用，以及为完成招标文件规定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服务工作所涉及到的一切相关费用。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（1）用于保洁的日常易耗品、工具等物品由投标人购置并承担费用。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（2）所有人员的通讯、工作服装（分不同季节）由投标人购置并承担费用，安检器械等由采购人购置并承担费用。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（3）各投标人根据采购人提供的服务内容、招标文件及答疑文件等资料要求，并根据市场行情、结合自身公司实力、管理水平等因素，按要求进行报价。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（5）服务人员须服从采购人管理，采购人安排的短期加班或活动不另行增加费用。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12.4（</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zh-CN"/>
        </w:rPr>
        <w:t xml:space="preserve">）所有人员工资不低于本市最低工资标准2260元/人/每月，所有人员必须足额缴纳社保费用，社保（企业部分）不得低于</w:t>
      </w:r>
      <w:r>
        <w:rPr>
          <w:rFonts w:hint="eastAsia" w:ascii="宋体" w:hAnsi="宋体" w:eastAsia="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元/人/每月，住房公积金不得低于</w:t>
      </w:r>
      <w:r>
        <w:rPr>
          <w:rFonts w:hint="eastAsia" w:ascii="宋体" w:hAnsi="宋体" w:eastAsia="宋体" w:cs="宋体"/>
          <w:b/>
          <w:bCs/>
          <w:color w:val="auto"/>
          <w:sz w:val="24"/>
          <w:szCs w:val="24"/>
          <w:highlight w:val="none"/>
          <w:lang w:val="en-US" w:eastAsia="zh-CN"/>
        </w:rPr>
        <w:t xml:space="preserve">114</w:t>
      </w:r>
      <w:r>
        <w:rPr>
          <w:rFonts w:hint="eastAsia" w:ascii="宋体" w:hAnsi="宋体" w:eastAsia="宋体" w:cs="宋体"/>
          <w:b/>
          <w:bCs/>
          <w:color w:val="auto"/>
          <w:sz w:val="24"/>
          <w:szCs w:val="24"/>
          <w:highlight w:val="none"/>
          <w:lang w:val="zh-CN"/>
        </w:rPr>
        <w:t xml:space="preserve">元/人/每月，法定节假日加班费不得低于</w:t>
      </w:r>
      <w:r>
        <w:rPr>
          <w:rFonts w:hint="eastAsia" w:ascii="宋体" w:hAnsi="宋体" w:eastAsia="宋体" w:cs="宋体"/>
          <w:b/>
          <w:bCs/>
          <w:color w:val="auto"/>
          <w:sz w:val="24"/>
          <w:szCs w:val="24"/>
          <w:highlight w:val="none"/>
        </w:rPr>
        <w:t xml:space="preserve">4052.41</w:t>
      </w:r>
      <w:r>
        <w:rPr>
          <w:rFonts w:hint="eastAsia" w:ascii="宋体" w:hAnsi="宋体" w:eastAsia="宋体" w:cs="宋体"/>
          <w:b/>
          <w:bCs/>
          <w:color w:val="auto"/>
          <w:sz w:val="24"/>
          <w:szCs w:val="24"/>
          <w:highlight w:val="none"/>
          <w:lang w:val="zh-CN"/>
        </w:rPr>
        <w:t xml:space="preserve">元/人/每年，按</w:t>
      </w:r>
      <w:r>
        <w:rPr>
          <w:rFonts w:hint="eastAsia" w:ascii="宋体" w:hAnsi="宋体" w:eastAsia="宋体" w:cs="宋体"/>
          <w:b/>
          <w:bCs/>
          <w:color w:val="auto"/>
          <w:sz w:val="24"/>
          <w:szCs w:val="24"/>
          <w:highlight w:val="none"/>
        </w:rPr>
        <w:t xml:space="preserve">总</w:t>
      </w:r>
      <w:r>
        <w:rPr>
          <w:rFonts w:hint="eastAsia" w:ascii="宋体" w:hAnsi="宋体" w:eastAsia="宋体" w:cs="宋体"/>
          <w:b/>
          <w:bCs/>
          <w:color w:val="auto"/>
          <w:sz w:val="24"/>
          <w:szCs w:val="24"/>
          <w:highlight w:val="none"/>
          <w:lang w:val="zh-CN"/>
        </w:rPr>
        <w:t xml:space="preserve">人数</w:t>
      </w:r>
      <w:r>
        <w:rPr>
          <w:rFonts w:hint="eastAsia" w:ascii="宋体" w:hAnsi="宋体" w:eastAsia="宋体" w:cs="宋体"/>
          <w:b/>
          <w:bCs/>
          <w:color w:val="auto"/>
          <w:sz w:val="24"/>
          <w:szCs w:val="24"/>
          <w:highlight w:val="none"/>
        </w:rPr>
        <w:t xml:space="preserve">的</w:t>
      </w:r>
      <w:r>
        <w:rPr>
          <w:rFonts w:hint="eastAsia" w:ascii="宋体" w:hAnsi="宋体" w:eastAsia="宋体" w:cs="宋体"/>
          <w:b/>
          <w:bCs/>
          <w:color w:val="auto"/>
          <w:sz w:val="24"/>
          <w:szCs w:val="24"/>
          <w:highlight w:val="none"/>
          <w:lang w:val="zh-CN"/>
        </w:rPr>
        <w:t xml:space="preserve">70%</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即：221人</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zh-CN"/>
        </w:rPr>
        <w:t xml:space="preserve">计算加班，税金费率</w:t>
      </w:r>
      <w:r>
        <w:rPr>
          <w:rFonts w:hint="eastAsia" w:ascii="宋体" w:hAnsi="宋体" w:eastAsia="宋体" w:cs="宋体"/>
          <w:b/>
          <w:bCs/>
          <w:color w:val="auto"/>
          <w:sz w:val="24"/>
          <w:szCs w:val="24"/>
          <w:highlight w:val="none"/>
        </w:rPr>
        <w:t xml:space="preserve">不得低于</w:t>
      </w:r>
      <w:r>
        <w:rPr>
          <w:rFonts w:hint="eastAsia" w:ascii="宋体" w:hAnsi="宋体" w:eastAsia="宋体" w:cs="宋体"/>
          <w:b/>
          <w:bCs/>
          <w:color w:val="auto"/>
          <w:sz w:val="24"/>
          <w:szCs w:val="24"/>
          <w:highlight w:val="none"/>
          <w:lang w:val="zh-CN"/>
        </w:rPr>
        <w:t xml:space="preserve">6.72%。</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zh-CN"/>
        </w:rPr>
        <w:t xml:space="preserve">）本项目综合管理费包括办公、装备费、体检费，具体包含服装费、培训费、耗材、文具、电脑、打印机、保洁设备、用具、器具、工具及耗材费、不可预见费等一切招标文件中要求报价时考虑的费用，投标人自行报价。</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）特殊岗位补贴是除2260元/人/月工资外的特殊补贴，该项目水电工等特殊岗位津贴人员共</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lang w:val="zh-CN"/>
        </w:rPr>
        <w:t xml:space="preserve">人，特殊岗位补贴</w:t>
      </w:r>
      <w:r>
        <w:rPr>
          <w:rFonts w:hint="eastAsia" w:ascii="宋体" w:hAnsi="宋体" w:eastAsia="宋体" w:cs="宋体"/>
          <w:b/>
          <w:bCs/>
          <w:color w:val="auto"/>
          <w:sz w:val="24"/>
          <w:szCs w:val="24"/>
          <w:highlight w:val="none"/>
        </w:rPr>
        <w:t xml:space="preserve">1000</w:t>
      </w:r>
      <w:r>
        <w:rPr>
          <w:rFonts w:hint="eastAsia" w:ascii="宋体" w:hAnsi="宋体" w:eastAsia="宋体" w:cs="宋体"/>
          <w:b/>
          <w:bCs/>
          <w:color w:val="auto"/>
          <w:sz w:val="24"/>
          <w:szCs w:val="24"/>
          <w:highlight w:val="none"/>
          <w:lang w:val="zh-CN"/>
        </w:rPr>
        <w:t xml:space="preserve">元/人/</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zh-CN"/>
        </w:rPr>
        <w:t xml:space="preserve">。</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服装费不得低于200元/人/年，人数按315人计算。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投标人所提供人员的费用</w:t>
      </w:r>
      <w:r>
        <w:rPr>
          <w:rFonts w:hint="eastAsia" w:ascii="宋体" w:hAnsi="宋体" w:eastAsia="宋体" w:cs="宋体"/>
          <w:b/>
          <w:bCs/>
          <w:color w:val="auto"/>
          <w:sz w:val="24"/>
          <w:szCs w:val="24"/>
          <w:highlight w:val="none"/>
        </w:rPr>
        <w:t xml:space="preserve">按</w:t>
      </w:r>
      <w:r>
        <w:rPr>
          <w:rFonts w:hint="eastAsia" w:ascii="宋体" w:hAnsi="宋体" w:eastAsia="宋体" w:cs="宋体"/>
          <w:b/>
          <w:bCs/>
          <w:color w:val="auto"/>
          <w:sz w:val="24"/>
          <w:szCs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12.5投标人根据招标内容的要求准确报价，一经报出，不得更改。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12.6投标报价的单位为人民币(元)。如果未能按合同、招标投标文件履约的，中止合同，履约保证金不予退还，并不支付服务期间的物业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费用。招标方有权终止合同的履行，受托单位应承担相应的完全责任，包括赔偿因此而给本单位及第三人带来的相应损失。合同期满后，中标供应商退出本物业管理时必须向采购人移交全套档案资料等，经采购人验收合格，并完成与后续物业服务企业的衔接后，方可退出，同时无息退还履约保证金余额。合同提前终止或期满退出的，规定时间内必须与本单位及后续物业管理企业的完成交接、衔接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13、技术要求响应及偏离表、商务要求响应及偏离表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14、投标函和开标一览表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15、投标有效期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17.1电子投标文件的递交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480"/>
        <w:jc w:val="left"/>
        <w:keepLines w:val="0"/>
        <w:keepNext w:val="0"/>
        <w:pageBreakBefore w:val="0"/>
        <w:spacing w:line="52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w:t>
      </w:r>
      <w:r>
        <w:rPr>
          <w:u w:val="single"/>
        </w:rPr>
      </w:r>
      <w:r/>
    </w:p>
    <w:p>
      <w:pPr>
        <w:ind w:firstLine="480"/>
        <w:jc w:val="left"/>
        <w:keepLines w:val="0"/>
        <w:keepNext w:val="0"/>
        <w:pageBreakBefore w:val="0"/>
        <w:spacing w:line="520" w:lineRule="exact"/>
        <w:widowControl w:val="off"/>
        <w:rPr>
          <w:rFonts w:hint="eastAsia" w:ascii="宋体" w:hAnsi="宋体" w:eastAsia="宋体" w:cs="宋体"/>
          <w:b/>
          <w:bCs/>
          <w:i/>
          <w:iCs/>
          <w:color w:val="auto"/>
          <w:sz w:val="24"/>
          <w:szCs w:val="24"/>
          <w:highlight w:val="none"/>
        </w:rPr>
      </w:pPr>
      <w:r>
        <w:rPr>
          <w:rFonts w:hint="eastAsia" w:ascii="宋体" w:hAnsi="宋体" w:eastAsia="宋体" w:cs="宋体"/>
          <w:b/>
          <w:bCs/>
          <w:i/>
          <w:iCs/>
          <w:color w:val="auto"/>
          <w:sz w:val="24"/>
          <w:szCs w:val="24"/>
          <w:highlight w:val="none"/>
          <w:u w:val="single"/>
        </w:rPr>
        <w:t xml:space="preserve">上传的“明标”材料中不得出现与服务方案相关的内容，否则作无效标书处理。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18、投标截止时间</w:t>
      </w:r>
      <w:r/>
    </w:p>
    <w:p>
      <w:pPr>
        <w:ind w:firstLine="480"/>
        <w:jc w:val="left"/>
        <w:keepLines w:val="0"/>
        <w:keepNext w:val="0"/>
        <w:pageBreakBefore w:val="0"/>
        <w:spacing w:line="520" w:lineRule="exact"/>
        <w:widowControl w:val="off"/>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19、投标文件的拒收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20、投标文件的撤回和修改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20.1投标文件的撤回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20.1.1电子投标文件的撤回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20.2投标文件的修改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21、开标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22、评标委员会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22.1开标后，采购中心将立即组织评标委员会（以下简称评委会）进行评标。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23、评标过程的保密与公正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24、投标文件的澄清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25、对投标文件的初审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25.6投标人在开、评标全过程中应保持通讯畅通，及时登录苏采云系统查阅、答复相关信息，并安排专人与采购中心及评标委员会联系。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26、无效投标条款和废标条款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（一）评审过程中出现下列情形之一的，评标委员会应当启动异常低价投标审查程序：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1.投标报价低于采购项目预算50%的，即投标报价&lt;采购项目预算×50%；</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3.评标委员会认定的供应商报价过低、有可能影响产品质量或者不能诚信履约的其他情形。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auto"/>
          <w:sz w:val="24"/>
          <w:szCs w:val="24"/>
          <w:highlight w:val="none"/>
          <w:lang w:val="en-US"/>
        </w:rPr>
        <w:t xml:space="preserve">    </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27、确定中标单位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27.3采购中心将在“中国政府采购网”、“江苏政府采购网”、“盐城市政府采购网”发布中标公告，公告期限为1个工作日。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28、质疑处理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采购中心及采购人只接收以纸质原件形式送达的质疑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采购人和采购中心不接受未填写快递运单的快件。质疑接收部门为公共资源交易中心业务受理处，联系地址：盐城市府西路1号市公共资源交易中心522，联系电话：0515-86665052。</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29、中标通知书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30.签订合同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31、服务（包含与服务相关的货物）的追加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32.1政府采购线上合同信用融资政策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32.2进口产品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32.3中小企业、监狱企业及残疾人福利性单位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32.3.1中小企业定义：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w:t>
      </w:r>
      <w:r>
        <w:rPr>
          <w:rFonts w:hint="eastAsia" w:ascii="宋体" w:hAnsi="宋体" w:eastAsia="宋体" w:cs="宋体"/>
          <w:color w:val="auto"/>
          <w:sz w:val="24"/>
          <w:highlight w:val="none"/>
        </w:rPr>
        <w:t xml:space="preserve">（1 至8 级）</w:t>
      </w:r>
      <w:r>
        <w:rPr>
          <w:rFonts w:hint="eastAsia" w:ascii="宋体" w:hAnsi="宋体" w:eastAsia="宋体" w:cs="宋体"/>
          <w:color w:val="auto"/>
          <w:sz w:val="24"/>
          <w:szCs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32.4政府采购节能产品、环境标志产品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32.5绿色包装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在供货、安装过程中能做到低碳物流、环保节约、提高资源利用率。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32.6政府采购创新产品</w:t>
      </w:r>
      <w:r/>
    </w:p>
    <w:p>
      <w:pPr>
        <w:ind w:firstLine="478"/>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32.7绿色数据中心政策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32.8履约保证金政策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确需收取履约保证金的，履约保证金的缴纳形式：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预付款制度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erReference w:type="first" r:id="rId15"/>
          <w:footnotePr/>
          <w:endnotePr/>
          <w:type w:val="nextPage"/>
          <w:pgSz w:w="11906" w:h="16838" w:orient="portrait"/>
          <w:pgMar w:top="1440" w:right="1406" w:bottom="1440" w:left="1406" w:header="851" w:footer="907" w:gutter="0"/>
          <w:pgNumType w:start="1"/>
          <w:cols w:num="1" w:sep="0" w:space="1701" w:equalWidth="1"/>
          <w:docGrid w:linePitch="360"/>
          <w:titlePg/>
        </w:sectPr>
      </w:pPr>
      <w:r>
        <w:rPr>
          <w:rFonts w:hint="eastAsia" w:ascii="宋体" w:hAnsi="宋体" w:eastAsia="宋体" w:cs="宋体"/>
          <w:color w:val="auto"/>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ind w:firstLine="480"/>
        <w:jc w:val="center"/>
        <w:spacing w:line="560" w:lineRule="exact"/>
        <w:widowControl/>
        <w:rPr>
          <w:rFonts w:hint="eastAsia" w:ascii="宋体" w:hAnsi="宋体" w:eastAsia="宋体" w:cs="宋体"/>
          <w:bCs/>
          <w:color w:val="auto"/>
          <w:sz w:val="44"/>
          <w:szCs w:val="44"/>
          <w:highlight w:val="none"/>
        </w:rPr>
        <w:outlineLvl w:val="0"/>
      </w:pPr>
      <w:r/>
      <w:bookmarkStart w:id="2" w:name="_Toc31242"/>
      <w:r>
        <w:rPr>
          <w:rFonts w:hint="eastAsia" w:ascii="宋体" w:hAnsi="宋体" w:eastAsia="宋体" w:cs="宋体"/>
          <w:color w:val="auto"/>
          <w:sz w:val="44"/>
          <w:szCs w:val="44"/>
          <w:highlight w:val="none"/>
        </w:rPr>
        <w:t xml:space="preserve">第三章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合同文本</w:t>
      </w:r>
      <w:bookmarkEnd w:id="2"/>
      <w:r/>
      <w:r/>
    </w:p>
    <w:p>
      <w:pPr>
        <w:pStyle w:val="918"/>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pStyle w:val="918"/>
        <w:ind w:firstLine="1885"/>
        <w:spacing w:line="560" w:lineRule="exact"/>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项目名称：盐城市第一人民医院</w:t>
      </w:r>
      <w:r>
        <w:rPr>
          <w:rFonts w:hint="eastAsia" w:ascii="宋体" w:hAnsi="宋体" w:eastAsia="宋体" w:cs="宋体"/>
          <w:color w:val="auto"/>
          <w:sz w:val="24"/>
          <w:szCs w:val="24"/>
          <w:highlight w:val="none"/>
          <w:lang w:val="en-US" w:eastAsia="zh-CN"/>
        </w:rPr>
        <w:t xml:space="preserve">南院区</w:t>
      </w:r>
      <w:r>
        <w:rPr>
          <w:rFonts w:hint="eastAsia" w:ascii="宋体" w:hAnsi="宋体" w:eastAsia="宋体" w:cs="宋体"/>
          <w:color w:val="auto"/>
          <w:sz w:val="24"/>
          <w:szCs w:val="24"/>
          <w:highlight w:val="none"/>
        </w:rPr>
        <w:t xml:space="preserve">物业服务</w:t>
      </w:r>
      <w:r>
        <w:rPr>
          <w:rFonts w:hint="eastAsia" w:ascii="宋体" w:hAnsi="宋体" w:eastAsia="宋体" w:cs="宋体"/>
          <w:color w:val="auto"/>
          <w:sz w:val="24"/>
          <w:szCs w:val="24"/>
          <w:highlight w:val="none"/>
          <w:lang w:eastAsia="zh-CN"/>
        </w:rPr>
        <w:t xml:space="preserve">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0"/>
          <w:highlight w:val="none"/>
        </w:rPr>
        <w:t xml:space="preserve">JSZC-320900-JZCG-G2025-0061</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盐城市第一人民医院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甲、乙双方根据盐城市政府采购中心</w:t>
      </w:r>
      <w:r>
        <w:rPr>
          <w:rFonts w:hint="eastAsia" w:ascii="宋体" w:hAnsi="宋体" w:eastAsia="宋体" w:cs="宋体"/>
          <w:color w:val="auto"/>
          <w:sz w:val="24"/>
          <w:szCs w:val="24"/>
          <w:highlight w:val="none"/>
          <w:u w:val="single"/>
        </w:rPr>
        <w:t xml:space="preserve">盐城市第一人民医院南院区物业服务</w:t>
      </w:r>
      <w:r>
        <w:rPr>
          <w:rFonts w:hint="eastAsia" w:ascii="宋体" w:hAnsi="宋体" w:eastAsia="宋体" w:cs="宋体"/>
          <w:color w:val="auto"/>
          <w:sz w:val="24"/>
          <w:szCs w:val="24"/>
          <w:highlight w:val="none"/>
        </w:rPr>
        <w:t xml:space="preserve">项目公开招标的结果，签署本合同。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1.1标的名称：</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eastAsia="宋体" w:cs="宋体"/>
          <w:color w:val="auto"/>
          <w:sz w:val="24"/>
          <w:szCs w:val="24"/>
          <w:highlight w:val="none"/>
          <w:u w:val="none"/>
        </w:rPr>
        <w:t xml:space="preserve">南院区</w:t>
      </w:r>
      <w:r>
        <w:rPr>
          <w:rFonts w:hint="eastAsia" w:ascii="宋体" w:hAnsi="宋体" w:eastAsia="宋体" w:cs="宋体"/>
          <w:color w:val="auto"/>
          <w:sz w:val="24"/>
          <w:szCs w:val="24"/>
          <w:highlight w:val="none"/>
        </w:rPr>
        <w:t xml:space="preserve">物业服务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满足甲方要求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履行时间（期限）：</w:t>
      </w:r>
      <w:r>
        <w:rPr>
          <w:rFonts w:hint="eastAsia" w:ascii="宋体" w:hAnsi="宋体" w:eastAsia="宋体" w:cs="宋体"/>
          <w:color w:val="auto"/>
          <w:sz w:val="24"/>
          <w:szCs w:val="24"/>
          <w:highlight w:val="none"/>
          <w:lang w:val="en-US" w:eastAsia="zh-CN"/>
        </w:rPr>
        <w:t xml:space="preserve">一年，自    年   月   日至    年   月   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lang w:val="en-US" w:eastAsia="zh-CN"/>
        </w:rPr>
        <w:t xml:space="preserve">盐城市第一人民医院</w:t>
      </w:r>
      <w:r>
        <w:rPr>
          <w:rFonts w:hint="eastAsia" w:ascii="宋体" w:hAnsi="宋体" w:eastAsia="宋体" w:cs="宋体"/>
          <w:color w:val="auto"/>
          <w:sz w:val="24"/>
          <w:szCs w:val="24"/>
          <w:highlight w:val="none"/>
          <w:u w:val="none"/>
        </w:rPr>
        <w:t xml:space="preserve">南院区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二、合同金额</w:t>
      </w:r>
      <w:r>
        <w:rPr>
          <w:rFonts w:hint="eastAsia" w:ascii="宋体" w:hAnsi="宋体" w:eastAsia="宋体" w:cs="宋体"/>
          <w:color w:val="auto"/>
          <w:sz w:val="24"/>
          <w:szCs w:val="24"/>
          <w:highlight w:val="none"/>
          <w:lang w:eastAsia="zh-CN"/>
        </w:rPr>
        <w:t xml:space="preserve">及支付方式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合同价应包括人员工资及国家法定节假日加班费等补助、社保费、办公费、工作所需的保洁工具及耗材、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合同期内遇政府调整职工最低工资标准或社会保险缴纳基数，按政府</w:t>
      </w:r>
      <w:r>
        <w:rPr>
          <w:rFonts w:hint="eastAsia" w:ascii="宋体" w:hAnsi="宋体" w:eastAsia="宋体" w:cs="宋体"/>
          <w:color w:val="auto"/>
          <w:sz w:val="24"/>
          <w:szCs w:val="24"/>
          <w:highlight w:val="none"/>
          <w:lang w:eastAsia="zh-CN"/>
        </w:rPr>
        <w:t xml:space="preserve">政策文件</w:t>
      </w:r>
      <w:r>
        <w:rPr>
          <w:rFonts w:hint="eastAsia" w:ascii="宋体" w:hAnsi="宋体" w:eastAsia="宋体" w:cs="宋体"/>
          <w:color w:val="auto"/>
          <w:sz w:val="24"/>
          <w:szCs w:val="24"/>
          <w:highlight w:val="none"/>
        </w:rPr>
        <w:t xml:space="preserve">调整，其余项目不调整。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支付方式：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预付款支付时间：合同签订后，甲方收到乙方等额的合法发票后10个工作日内，预付款支付比例为合同金额的30%。</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30日前，甲方根据服务单位管理资料、费用支付申请与甲方考核结果（包括服务与培训情况、工资发放、社保缴纳等），甲方收到乙方等额的合法发票后10个工作日内向乙方支付上一个月服务费（付款时，扣回预付款），付款时须按照国家相关规定及甲方的要求提供有效的增值税发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按以上付款，无任何银行利息，由乙方事先提供税务发票，一律通过银行结转。</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tbl>
      <w:tblPr>
        <w:tblStyle w:val="758"/>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4"/>
        <w:gridCol w:w="3996"/>
        <w:gridCol w:w="3037"/>
      </w:tblGrid>
      <w:tr>
        <w:trPr>
          <w:trHeight w:val="506"/>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3996"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tc>
      </w:tr>
      <w:tr>
        <w:trPr>
          <w:trHeight w:val="442"/>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收款户名</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盐城市第一人民医院</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中国建设银行股份有限公司</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盐城迎宾支行</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14"/>
        </w:trPr>
        <w:tc>
          <w:tcPr>
            <w:tcW w:w="216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tcW w:w="3996" w:type="dxa"/>
            <w:vAlign w:val="center"/>
            <w:textDirection w:val="lrTb"/>
            <w:noWrap w:val="false"/>
          </w:tcPr>
          <w:p>
            <w:pPr>
              <w:ind w:left="0" w:right="0" w:firstLine="480"/>
              <w:jc w:val="center"/>
              <w:keepLines w:val="0"/>
              <w:keepNext w:val="0"/>
              <w:pageBreakBefore w:val="0"/>
              <w:spacing w:before="0" w:after="0" w:line="5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32001735136051464002</w:t>
            </w:r>
            <w:r/>
          </w:p>
        </w:tc>
        <w:tc>
          <w:tcPr>
            <w:tcW w:w="30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 w:val="24"/>
          <w:szCs w:val="24"/>
          <w:highlight w:val="none"/>
          <w:lang w:eastAsia="zh-CN"/>
        </w:rPr>
        <w:t xml:space="preserve">给予</w:t>
      </w:r>
      <w:r>
        <w:rPr>
          <w:rFonts w:hint="eastAsia" w:ascii="宋体" w:hAnsi="宋体" w:eastAsia="宋体" w:cs="宋体"/>
          <w:color w:val="auto"/>
          <w:sz w:val="24"/>
          <w:szCs w:val="24"/>
          <w:highlight w:val="none"/>
        </w:rPr>
        <w:t xml:space="preserve">履行本合同无关的任何其他人。即使向履行本合同有关的人员提供，也应注意保密并限于履行合同的必需范围。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乙方交纳人民币_________元作为本合同的履约保证金。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（备注：履约保证金金额为合同金额的10%，乙方如为AA评级及以上政府采购供应商（需提供信用管理部门备案的第三方信用报告），履约保证金缴纳金额为合同金额的5%。）</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2确需收取履约保证金的，履约保证金的缴纳形式：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2.2如以履约保函（保险）形式缴纳履约保证金，供应商可通过政府采购电子履约保函（保险）平台（www.jsdzbh.com）在线申请履约保函（保险）。</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2.3合同履行结束后，甲方应及时退还交纳的履约保证金。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2.4履约保证金的退还：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方式：无息退还至乙方缴纳履约保证金的账户。如为保函，在到期时自行失效。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时间：如为支票、汇票、本票，在服务期满后30日内退还。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条件：按合同要求全部履约完成并经甲方验收合格。</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不予退还情形：</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3）乙方所供服务不符合招标文件规定要求的；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7.1甲方的权利和义务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7.1.1甲方有权对乙方进行业务指导、督查。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7.1.2审定乙方拟定的物业管理制度。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7.1.3检查、监督乙方管理工作的实施及有关物管制度的执行情况。</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7.1.4向乙方提供管理运作所需的办公室。</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7.1.5水电维修所需耗材由甲方承担，乙方根据维修需要向甲方申领。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7.1.6协助乙方做好物业管理工作，对乙方主要物管费用的使用情况有知情权、建议权。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7.1.7甲方每月对乙方的服务情况进行考核。主要考核乙方的人员配备、管理机制、保洁等工作人员的服务态度和质量等。由甲方在病区医生、护士、病员中发放满意度考核表，实行百分制考核，85分达标。甲方考核小组对每月考核的情况进行反馈，根据考核的结果进行处罚，并从考核保证金中扣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7.1.8甲方在下列情况下可解除或终止与乙方签订的协议，不视为违约：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（1）乙方连续两次满意度考核低于80分，甲方有权终止与乙方签订的合同。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（2）遇有国家或地方政府的政策原因或医院重大决策调整以及发生不可抗力因素，甲方有权解除与乙方签订的协议，所造成的损失由双方协商解决。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7.1.9法律法规规定的应由甲方承担的其他责任。</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7.2乙方的权利和义务</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7.2.1制定物业管理制度，加强管理，严格认真地定期督查考核，并征求甲方管理人员意见。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7.2.2物业服务人员均由乙方招聘、管理和使用，工资、福利待遇等均由乙方负责。根据《</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劳动法》、《</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劳动合同法》等法律法规的规定，乙方自行缴纳在甲方服务人员的各项社会保险费用并发放按国家享有各种福利待遇。</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7.2.3特殊工种人员必须经过培训并具备相应资格证书以及在特殊岗位每年的必须检查项目费用和培训费用由乙方承担。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7.2.4乙方在本物业的主要负责人（含主管）须符合招标文件规定的条件。所有管理岗位人员必须达到规定的资格要求，甲方有权要求乙方对不符合条件的乙方人员予以调整。</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7.2.5乙方不得将本物业的管理服务责任转让给第三方，不得与任何一家物业服务公司进行合作管理本物业。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7.2.6对本物业公共设施不得擅自占用和改变使用功能，如需改变用途，须报甲方批准。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7.2.7乙方在工作期间必须节约和使用耗材，杜绝浪费，对甲方相关房屋、设备、家具等人为造成损坏或由于工作不到位等原因造成甲方财产损失的要依法赔偿，并追究相关人员责任。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7.2.8乙方工作人员要统一着装，所有人员一律挂牌上岗。</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7.2.9乙方服务人员必须文明服务、安全操作，所有服务人员的人身安全和经济责任，均由乙方负责。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7.2.10物业服务所需机械设备、设施由乙方自行提供。</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7.2.11乙方服务人员必须遵纪守法，同时遵守医院相关规定，如出现违纪违规的行为，乙方负责教育和处理，并承担相应经济和法律责任。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7.2.12乙方应加强对员工的教育管理，员工如出现违规、违纪行为，造成纠纷、财产损失、人员伤亡的，乙方负全部责任。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7.2.13接受盐城市业务主管部门及政府有关部门的监督指导，遵守甲方的管理制度，服从甲方整体管理。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7.2.14如某个岗位人员流动造成此岗位空缺的，乙方须在7日内安排合格人员到岗，否则甲方有权直接安排人员到岗，甲方直接安排该人员工资，直接从合同价款扣除。同时须承担5000元的违约金。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7.2.15法律法规规定的应由乙方承担的其他责任。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7.2.16本合同终止后，乙方必须向甲方移交全部服务用房及物业管理服务的全部档案资料，甲方不负责乙方招聘人员的安排和补偿。</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7.2.17乙方每年对医院所有PVC地面进行打蜡保养维护至少1次。费用包含在合同价中，甲方不另行增加此项费用。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7.2.18所有物管工作不受节假日、昼夜、天气、季节的影响，无条件服从甲方的作息时间和要求。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八、合同转包或分包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8.2乙方不得将合同标的分包给他人履行。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8.3乙方如有转包或未经甲方同意的分包行为，甲方有权解除合同。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、税费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.1本合同执行中相关的一切税费均由乙方负担。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.1甲方依法组织履约验收工作。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.3对于实际使用人和甲方分离的项目，甲方邀请实际使用人参与验收。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.5甲方成立验收小组，按照采购合同的约定对乙方的履约情况进行验收。验收时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甲方按照采购合同的约定对每一项技术、服务、安全标准的履约情况进行确认。验收结束后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验收小组出具验收书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列明各项标准的验收情况及项目总体评价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.6验收合格的项目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甲方将及时报告本级财政部门。</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、物业管理考核办法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为做好盐城市第一人民医院</w:t>
      </w:r>
      <w:r>
        <w:rPr>
          <w:rFonts w:hint="eastAsia" w:ascii="宋体" w:hAnsi="宋体" w:eastAsia="宋体" w:cs="宋体"/>
          <w:color w:val="auto"/>
          <w:sz w:val="24"/>
          <w:szCs w:val="24"/>
          <w:highlight w:val="none"/>
          <w:lang w:val="en-US" w:eastAsia="zh-CN"/>
        </w:rPr>
        <w:t xml:space="preserve">南院区</w:t>
      </w:r>
      <w:r>
        <w:rPr>
          <w:rFonts w:hint="eastAsia" w:ascii="宋体" w:hAnsi="宋体" w:eastAsia="宋体" w:cs="宋体"/>
          <w:color w:val="auto"/>
          <w:sz w:val="24"/>
          <w:szCs w:val="24"/>
          <w:highlight w:val="none"/>
        </w:rPr>
        <w:t xml:space="preserve">医疗场所外包的物业管理，促进物业管理单位能够切实履行物业承包协议，更好的落实管理措施，使市第一人民医院物业管理工作标准化、制度化、规范化，创建优美、整洁、安全、方便、舒适、文明的医疗就诊环境，特制订本办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一）考核单位：盐城市第一人民医院，考核对象：物业管理公司（乙方）及其拟派物业服务人员</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二）考核目的：督促物管公司进行制度化、规范化、科学化管理，树立良好的服务形象，保证物资配送到位、陪检规范、辅助护理工作到位，确保环境整洁优美，不断完善物业管理工作，提高服务保障工作水平。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三）考核项目：</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1、保洁工作：院内、院外保洁、停车场保洁、医疗及非医疗区域、虫害消杀服务、医疗垃圾、生活垃圾收集等。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2、陪检配送：各科物资配送、患者陪护检查。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3、特殊工种（水电工、氧气工、收费员、影像助理、药剂助理等工种）考核：甲方对特殊工种工作量进行考核，每季度考核一次，考核办法为从特殊岗位津贴中支出1000元/人/月或500元/人/月（实际发放按</w:t>
      </w:r>
      <w:r>
        <w:rPr>
          <w:rFonts w:hint="eastAsia" w:ascii="宋体" w:hAnsi="宋体" w:eastAsia="宋体" w:cs="宋体"/>
          <w:color w:val="auto"/>
          <w:sz w:val="24"/>
          <w:szCs w:val="24"/>
          <w:highlight w:val="none"/>
          <w:lang w:eastAsia="zh-CN"/>
        </w:rPr>
        <w:t xml:space="preserve">特殊工种持有</w:t>
      </w:r>
      <w:r>
        <w:rPr>
          <w:rFonts w:hint="eastAsia" w:ascii="宋体" w:hAnsi="宋体" w:eastAsia="宋体" w:cs="宋体"/>
          <w:color w:val="auto"/>
          <w:sz w:val="24"/>
          <w:szCs w:val="24"/>
          <w:highlight w:val="none"/>
        </w:rPr>
        <w:t xml:space="preserve">证书等级、工种设定，每季度经甲方考核合格后予以支付，否则不予支付。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四）量化考核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日常考核：物管办每月至少两次派出专人对工作内容的完成情况进行督促检查，其余时间不定期抽查，检查人填写工作检查记录由物业公司被检查人签字认可并整理保存。根据平时检查结果，作为考核内容存档。物管办有权针对出现的问题对物业公司实施处罚，并下达书面整改通知，责成物管公司限期整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2、季度、年度考核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3、物业管理工作考核大纲</w:t>
      </w:r>
      <w:r/>
    </w:p>
    <w:p>
      <w:pPr>
        <w:numPr>
          <w:ilvl w:val="0"/>
          <w:numId w:val="0"/>
        </w:numPr>
        <w:ind w:right="0" w:firstLine="480"/>
        <w:jc w:val="both"/>
        <w:keepLines w:val="0"/>
        <w:keepNext w:val="0"/>
        <w:pageBreakBefore w:val="0"/>
        <w:spacing w:before="0" w:beforeAutospacing="0" w:after="0" w:afterAutospacing="0" w:line="500" w:lineRule="exact"/>
        <w:widowControl w:val="off"/>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物业管理工作考核制度总分100分，分为科室考核和院内测评，科室考核占</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6</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0分</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院内测评</w:t>
      </w:r>
      <w:r>
        <w:rPr>
          <w:rFonts w:hint="eastAsia" w:ascii="宋体" w:hAnsi="宋体" w:eastAsia="宋体" w:cs="宋体"/>
          <w:b w:val="0"/>
          <w:bCs/>
          <w:i w:val="0"/>
          <w:iCs w:val="0"/>
          <w:caps w:val="0"/>
          <w:color w:val="auto"/>
          <w:spacing w:val="0"/>
          <w:sz w:val="24"/>
          <w:szCs w:val="24"/>
          <w:highlight w:val="none"/>
          <w:shd w:val="clear" w:color="auto" w:fill="ffffff"/>
          <w:lang w:val="en-US" w:eastAsia="zh-CN" w:bidi="ar-SA"/>
        </w:rPr>
        <w:t xml:space="preserve">占40分。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注：科室考核详见附件《盐城市第一人民医院外包人员行为规范及考核细则（试行）》、《陪检配送（含医疗垃圾房）服务考核细则》、《保洁窗口服务（含生活垃圾房）考核细则》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考核等级分为优、良、差三等，每季度考核一次。</w:t>
      </w:r>
      <w:r/>
    </w:p>
    <w:tbl>
      <w:tblPr>
        <w:tblStyle w:val="7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1"/>
        <w:gridCol w:w="2415"/>
        <w:gridCol w:w="2130"/>
        <w:gridCol w:w="2385"/>
      </w:tblGrid>
      <w:tr>
        <w:trPr>
          <w:trHeight w:val="451"/>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考核等级</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良</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差</w:t>
            </w:r>
            <w:r/>
          </w:p>
        </w:tc>
      </w:tr>
      <w:tr>
        <w:trPr>
          <w:trHeight w:val="460"/>
        </w:trPr>
        <w:tc>
          <w:tcPr>
            <w:tcW w:w="1791"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分数范围</w:t>
            </w:r>
            <w:r/>
          </w:p>
        </w:tc>
        <w:tc>
          <w:tcPr>
            <w:tcW w:w="241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～100分</w:t>
            </w:r>
            <w:r/>
          </w:p>
        </w:tc>
        <w:tc>
          <w:tcPr>
            <w:tcW w:w="2130"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0分</w:t>
            </w:r>
            <w:r/>
          </w:p>
        </w:tc>
        <w:tc>
          <w:tcPr>
            <w:tcW w:w="2385" w:type="dxa"/>
            <w:textDirection w:val="lrTb"/>
            <w:noWrap w:val="false"/>
          </w:tcPr>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60分以下</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考核结果与主管绩效挂钩，物业公司主管人员每月收入的20%由院方根据考核结果发放。考核为优，全额发放；考核为良，发放60%；考核不合格，全额扣除。</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、物业外包合同一票否决条款</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1、物业外包合同周期</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综合得分≥90分的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按合同执行付款协议；</w:t>
      </w:r>
      <w:r>
        <w:rPr>
          <w:rFonts w:hint="eastAsia" w:ascii="宋体" w:hAnsi="宋体" w:eastAsia="宋体" w:cs="宋体"/>
          <w:color w:val="auto"/>
          <w:sz w:val="24"/>
          <w:szCs w:val="24"/>
          <w:highlight w:val="none"/>
        </w:rPr>
        <w:t xml:space="preserve">得分＜90分的</w:t>
      </w:r>
      <w:r>
        <w:rPr>
          <w:rFonts w:hint="eastAsia" w:ascii="宋体" w:hAnsi="宋体" w:eastAsia="宋体" w:cs="宋体"/>
          <w:color w:val="auto"/>
          <w:sz w:val="24"/>
          <w:szCs w:val="24"/>
          <w:highlight w:val="none"/>
          <w:lang w:eastAsia="zh-CN"/>
        </w:rPr>
        <w:t xml:space="preserve">，处以</w:t>
      </w:r>
      <w:r>
        <w:rPr>
          <w:rFonts w:hint="eastAsia" w:ascii="宋体" w:hAnsi="宋体" w:eastAsia="宋体" w:cs="宋体"/>
          <w:color w:val="auto"/>
          <w:sz w:val="24"/>
          <w:szCs w:val="24"/>
          <w:highlight w:val="none"/>
          <w:lang w:val="en-US" w:eastAsia="zh-CN"/>
        </w:rPr>
        <w:t xml:space="preserve">合同价5%的处罚。</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2、对上级主管部门专项检查或服务对象满意度调查反馈情况中发生下列情形的实行一票否决：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对第三方机构出院患者满意度调查中，满意度低于90%两次以上（含两次），经调查问责，系物管人员主观原因造成的服务缺失；②因行风服务问题，导致患者向上级部门和新闻媒体投诉或曝光，经查有明确责任的当事人，以及因违纪违规行为受到党政纪处理的物业公司当事人</w:t>
      </w:r>
      <w:r>
        <w:rPr>
          <w:rFonts w:hint="eastAsia" w:ascii="宋体" w:hAnsi="宋体" w:eastAsia="宋体" w:cs="宋体"/>
          <w:color w:val="auto"/>
          <w:sz w:val="24"/>
          <w:szCs w:val="24"/>
          <w:highlight w:val="none"/>
          <w:lang w:val="en-US" w:eastAsia="zh-CN"/>
        </w:rPr>
        <w:t xml:space="preserve">(如诚信记录）</w:t>
      </w:r>
      <w:r>
        <w:rPr>
          <w:rFonts w:hint="eastAsia" w:ascii="宋体" w:hAnsi="宋体" w:eastAsia="宋体" w:cs="宋体"/>
          <w:color w:val="auto"/>
          <w:sz w:val="24"/>
          <w:szCs w:val="24"/>
          <w:highlight w:val="none"/>
        </w:rPr>
        <w:t xml:space="preserve">；③因物业公司自身工作缺失，直接导致迎接上级创文督查或其他专项检查得分排名严重靠后，对医院工作造成严重不良后果或巨大损失的实行一票否决。</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千分之一</w:t>
      </w:r>
      <w:r>
        <w:rPr>
          <w:rFonts w:hint="eastAsia" w:ascii="宋体" w:hAnsi="宋体" w:eastAsia="宋体" w:cs="宋体"/>
          <w:color w:val="auto"/>
          <w:sz w:val="24"/>
          <w:szCs w:val="24"/>
          <w:highlight w:val="none"/>
        </w:rPr>
        <w:t xml:space="preserve">的违约金。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.2甲方无故逾期验收和办理合同款项支付手续的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w:t>
      </w:r>
      <w:r>
        <w:rPr>
          <w:rFonts w:hint="eastAsia" w:ascii="宋体" w:hAnsi="宋体" w:eastAsia="宋体" w:cs="宋体"/>
          <w:color w:val="auto"/>
          <w:sz w:val="24"/>
          <w:szCs w:val="24"/>
          <w:highlight w:val="none"/>
          <w:u w:val="single"/>
        </w:rPr>
        <w:t xml:space="preserve">万分之一</w:t>
      </w:r>
      <w:r>
        <w:rPr>
          <w:rFonts w:hint="eastAsia" w:ascii="宋体" w:hAnsi="宋体" w:eastAsia="宋体" w:cs="宋体"/>
          <w:color w:val="auto"/>
          <w:sz w:val="24"/>
          <w:szCs w:val="24"/>
          <w:highlight w:val="none"/>
        </w:rPr>
        <w:t xml:space="preserve">每日向乙方支付违约金。</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.4乙方所提供服务的标准不符合合同规定及招标文件规定标准的，甲方有权拒绝接受服务，并可单方面解除合同。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.5由于乙方的原因，给国家、甲方或第三方造成的损失与伤害，工人聚众闹事或者通过其它形式扰乱甲方正常工作或者给甲方造成媒体和社会负面影响的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所涉及的行政的、法律的、民事的责任由乙方全部承担，并承担相应的经济赔偿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甲方有权终止合同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、不可抗力事件处理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、解决争议的方法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、合同生效及其它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val="en-US" w:eastAsia="zh-CN"/>
        </w:rPr>
        <w:t xml:space="preserve">肆份，乙方贰</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附件：</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1、《物管监督考核细则》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2、《盐城市第一人民医院外包人员行为规范及考核细则（试行）》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3、《陪检配送（含医疗垃圾房）服务考核细则》</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保洁、司梯服务（含生活垃圾房）考核细则</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5、《医技工勤/收费人员考核细则》</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63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jc w:val="right"/>
        <w:spacing w:before="120" w:after="120" w:line="5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b/>
          <w:bCs/>
          <w:color w:val="auto"/>
          <w:sz w:val="32"/>
          <w:szCs w:val="32"/>
          <w:highlight w:val="none"/>
        </w:rPr>
        <w:br w:type="page" w:clear="all"/>
      </w:r>
      <w:r/>
    </w:p>
    <w:p>
      <w:pPr>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盐城市第</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人民医院</w:t>
      </w:r>
      <w:r>
        <w:rPr>
          <w:rFonts w:hint="eastAsia" w:ascii="宋体" w:hAnsi="宋体" w:eastAsia="宋体" w:cs="宋体"/>
          <w:b/>
          <w:bCs/>
          <w:color w:val="auto"/>
          <w:sz w:val="32"/>
          <w:szCs w:val="32"/>
          <w:highlight w:val="none"/>
          <w:lang w:val="en-US" w:eastAsia="zh-CN"/>
        </w:rPr>
        <w:t xml:space="preserve">南院区</w:t>
      </w:r>
      <w:r>
        <w:rPr>
          <w:rFonts w:hint="eastAsia" w:ascii="宋体" w:hAnsi="宋体" w:eastAsia="宋体" w:cs="宋体"/>
          <w:b/>
          <w:bCs/>
          <w:color w:val="auto"/>
          <w:sz w:val="32"/>
          <w:szCs w:val="32"/>
          <w:highlight w:val="none"/>
          <w:lang w:eastAsia="zh-CN"/>
        </w:rPr>
        <w:t xml:space="preserve">物业服务考核标准</w:t>
      </w:r>
      <w:r>
        <w:rPr>
          <w:rFonts w:hint="eastAsia" w:ascii="宋体" w:hAnsi="宋体" w:eastAsia="宋体" w:cs="宋体"/>
          <w:b/>
          <w:bCs/>
          <w:color w:val="auto"/>
          <w:sz w:val="32"/>
          <w:szCs w:val="32"/>
          <w:highlight w:val="none"/>
        </w:rPr>
        <w:br/>
      </w:r>
      <w:r/>
    </w:p>
    <w:tbl>
      <w:tblPr>
        <w:tblStyle w:val="758"/>
        <w:tblW w:w="107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671"/>
        <w:gridCol w:w="6499"/>
        <w:gridCol w:w="1050"/>
        <w:gridCol w:w="1005"/>
        <w:gridCol w:w="1051"/>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789"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auto"/>
                <w:sz w:val="32"/>
                <w:szCs w:val="3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p>
          <w:p>
            <w:pPr>
              <w:jc w:val="right"/>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2"/>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w:t>
            </w:r>
            <w:r>
              <w:rPr>
                <w:rFonts w:hint="eastAsia" w:ascii="宋体" w:hAnsi="宋体" w:eastAsia="宋体" w:cs="宋体"/>
                <w:i w:val="0"/>
                <w:iCs w:val="0"/>
                <w:color w:val="auto"/>
                <w:sz w:val="18"/>
                <w:szCs w:val="18"/>
                <w:highlight w:val="none"/>
                <w:u w:val="none"/>
                <w:lang w:val="en-US" w:eastAsia="zh-CN"/>
              </w:rPr>
              <w:t xml:space="preserve">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1050"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公司核照医院的要求将各岗位人员配置齐全，符合相应的岗位要求，人员稳定性好，社保人员比例大于50%，待遇按照规定标准全额执行，每月人员流失率低于5%。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生活垃圾房及时清运，垃圾房内杂物，无蚊虫草生。共6分，一次不符合扣1分。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1050" w:type="dxa"/>
            <w:vMerge w:val="restart"/>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1050" w:type="dxa"/>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05" w:type="dxa"/>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1051" w:type="dxa"/>
            <w:vAlign w:val="bottom"/>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513"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67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1050" w:type="dxa"/>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05" w:type="dxa"/>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1051" w:type="dxa"/>
            <w:vAlign w:val="bottom"/>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105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相关人员安全管理制度，并定期进行抽查，共4分，一次不符合扣2分。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51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7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499"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定期进行安全隐患的接查与整改，并做好持续改进。共6分，一次不符合扣2分。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05"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1051"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9"/>
        </w:trPr>
        <w:tc>
          <w:tcPr>
            <w:gridSpan w:val="4"/>
            <w:shd w:val="clear" w:color="auto" w:fill="auto"/>
            <w:tcBorders>
              <w:top w:val="single" w:color="000000" w:sz="4" w:space="0"/>
              <w:left w:val="single" w:color="000000" w:sz="4" w:space="0"/>
              <w:bottom w:val="single" w:color="000000" w:sz="4" w:space="0"/>
              <w:right w:val="single" w:color="000000" w:sz="4" w:space="0"/>
            </w:tcBorders>
            <w:tcW w:w="8733" w:type="dxa"/>
            <w:vAlign w:val="center"/>
            <w:textDirection w:val="lrTb"/>
            <w:noWrap w:val="false"/>
          </w:tcPr>
          <w:p>
            <w:pPr>
              <w:ind w:firstLine="0"/>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24"/>
                <w:szCs w:val="24"/>
                <w:highlight w:val="none"/>
                <w:u w:val="none"/>
                <w:lang w:val="en-US" w:eastAsia="zh-CN"/>
              </w:rPr>
              <w:t xml:space="preserve">注：年度考核综合得分＜90分的，</w:t>
            </w:r>
            <w:r>
              <w:rPr>
                <w:rFonts w:hint="eastAsia" w:ascii="宋体" w:hAnsi="宋体" w:eastAsia="宋体" w:cs="宋体"/>
                <w:color w:val="auto"/>
                <w:sz w:val="24"/>
                <w:szCs w:val="24"/>
                <w:highlight w:val="none"/>
                <w:lang w:eastAsia="zh-CN"/>
              </w:rPr>
              <w:t xml:space="preserve">处以</w:t>
            </w:r>
            <w:r>
              <w:rPr>
                <w:rFonts w:hint="eastAsia" w:ascii="宋体" w:hAnsi="宋体" w:eastAsia="宋体" w:cs="宋体"/>
                <w:color w:val="auto"/>
                <w:sz w:val="24"/>
                <w:szCs w:val="24"/>
                <w:highlight w:val="none"/>
                <w:lang w:val="en-US" w:eastAsia="zh-CN"/>
              </w:rPr>
              <w:t xml:space="preserve">5%合同价的处罚</w:t>
            </w:r>
            <w:r>
              <w:rPr>
                <w:rFonts w:hint="eastAsia" w:ascii="宋体" w:hAnsi="宋体" w:eastAsia="宋体" w:cs="宋体"/>
                <w:color w:val="auto"/>
                <w:sz w:val="24"/>
                <w:szCs w:val="24"/>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sz w:val="24"/>
                <w:szCs w:val="24"/>
                <w:highlight w:val="none"/>
                <w:u w:val="none"/>
                <w:lang w:val="en-US" w:eastAsia="zh-CN"/>
              </w:rPr>
              <w:t xml:space="preserve"> ，年度考核分为季度考核平均分。考核综合得分为</w:t>
            </w:r>
            <w:r>
              <w:rPr>
                <w:rFonts w:hint="eastAsia" w:ascii="宋体" w:hAnsi="宋体" w:eastAsia="宋体" w:cs="宋体"/>
                <w:color w:val="auto"/>
                <w:sz w:val="24"/>
                <w:szCs w:val="24"/>
                <w:highlight w:val="none"/>
                <w:u w:val="none"/>
                <w:lang w:val="en-US" w:eastAsia="en-US"/>
              </w:rPr>
              <w:t xml:space="preserve">科室考核</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lang w:val="en-US" w:eastAsia="en-US"/>
              </w:rPr>
              <w:t xml:space="preserve">院内测评</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205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761"/>
        <w:ind w:firstLine="1405"/>
        <w:jc w:val="both"/>
        <w:spacing w:before="152"/>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盐城市第一人民医院外包人员行为规范及考核细则</w:t>
      </w:r>
      <w:r>
        <w:rPr>
          <w:rFonts w:hint="eastAsia" w:ascii="宋体" w:hAnsi="宋体" w:eastAsia="宋体" w:cs="宋体"/>
          <w:b/>
          <w:bCs/>
          <w:color w:val="auto"/>
          <w:highlight w:val="none"/>
          <w:lang w:eastAsia="zh-CN"/>
        </w:rPr>
        <w:t xml:space="preserve">（试行）</w:t>
      </w:r>
      <w:r/>
    </w:p>
    <w:p>
      <w:pPr>
        <w:pStyle w:val="761"/>
        <w:ind w:firstLine="1405"/>
        <w:jc w:val="both"/>
        <w:spacing w:before="152"/>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58"/>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963"/>
              <w:spacing w:before="105"/>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963"/>
              <w:ind w:left="0"/>
              <w:jc w:val="center"/>
              <w:spacing w:before="10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963"/>
              <w:ind w:left="2380" w:right="2369"/>
              <w:jc w:val="center"/>
              <w:spacing w:before="10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1、熟悉本职业务，工作积极，责任心强；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2、认真履行岗位职责，严格遵照工作程序，圆满完成工作任务。</w:t>
            </w:r>
            <w:r/>
          </w:p>
        </w:tc>
        <w:tc>
          <w:tcPr>
            <w:tcW w:w="6600" w:type="dxa"/>
            <w:textDirection w:val="lrTb"/>
            <w:noWrap w:val="false"/>
          </w:tcPr>
          <w:p>
            <w:pPr>
              <w:pStyle w:val="963"/>
              <w:ind w:right="95" w:hanging="240"/>
              <w:spacing w:before="62"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963"/>
              <w:ind w:right="97" w:hanging="240"/>
              <w:spacing w:before="3" w:line="26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963"/>
              <w:ind w:right="1" w:hanging="240"/>
              <w:spacing w:line="26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963"/>
              <w:ind w:left="108"/>
              <w:spacing w:line="304"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963"/>
              <w:spacing w:before="3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1、遵守医院的规章制度和劳动纪律；团结协作；</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2、按时上下班，做好交接班，不迟到，不早退，不擅离岗位，不串岗、不干私活。</w:t>
            </w:r>
            <w:r/>
          </w:p>
        </w:tc>
        <w:tc>
          <w:tcPr>
            <w:tcW w:w="6600" w:type="dxa"/>
            <w:textDirection w:val="lrTb"/>
            <w:noWrap w:val="false"/>
          </w:tcPr>
          <w:p>
            <w:pPr>
              <w:pStyle w:val="963"/>
              <w:ind w:left="0"/>
              <w:spacing w:before="1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63"/>
              <w:ind w:right="95" w:hanging="240"/>
              <w:spacing w:line="266" w:lineRule="auto"/>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963"/>
              <w:ind w:right="95" w:hanging="240"/>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963"/>
              <w:ind w:right="-29" w:hanging="240"/>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963"/>
              <w:ind w:right="-29" w:hanging="240"/>
              <w:spacing w:before="3"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1、文明服务，礼貌待患，杜绝生、冷、硬、顶现象；</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2、上岗工作要着装整齐，佩戴胸牌，仪表庄重；</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3、不接受病人的钱物，杜绝以医谋私、吃、拿、卡、要、索贿受贿行为。</w:t>
            </w:r>
            <w:r/>
          </w:p>
        </w:tc>
        <w:tc>
          <w:tcPr>
            <w:tcW w:w="6600" w:type="dxa"/>
            <w:textDirection w:val="lrTb"/>
            <w:noWrap w:val="false"/>
          </w:tcPr>
          <w:p>
            <w:pPr>
              <w:pStyle w:val="963"/>
              <w:ind w:right="95" w:hanging="240"/>
              <w:spacing w:before="73"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963"/>
              <w:ind w:left="108"/>
              <w:spacing w:before="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963"/>
              <w:ind w:right="95" w:hanging="240"/>
              <w:spacing w:before="33" w:line="266" w:lineRule="auto"/>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963"/>
              <w:ind w:right="95" w:hanging="240"/>
              <w:spacing w:line="266" w:lineRule="auto"/>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963"/>
              <w:ind w:right="-29" w:hanging="240"/>
              <w:spacing w:line="266" w:lineRule="auto"/>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6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58"/>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6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58"/>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58"/>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3245"/>
        <w:gridCol w:w="4346"/>
        <w:gridCol w:w="790"/>
      </w:tblGrid>
      <w:tr>
        <w:trPr>
          <w:trHeight w:val="489"/>
        </w:trPr>
        <w:tc>
          <w:tcPr>
            <w:tcW w:w="7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324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3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79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1、规范上岗，统一服装、佩戴工牌；2、按时上下班，不迟到、不早退；3、坚守岗位，不无故离开工作岗位；4、工作台面清洁、物品摆放整齐；5、上班不玩手机，不做与工作无关事宜。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1、在岗仪表不端庄，不戴胸卡，故意反戴或遮挡胸卡，不穿工作服，穿拖鞋，每次扣1分。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2上班迟到、早退，每次扣1分。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79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1、工作积极、认真、主动、细心，按时完成科室交给的工作任务。</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2、及时接（打）电话、礼仪到位、使用规范文明用语</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3、对待医、患（或咨询者）态度友好、耐心解答、热心服务</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4、顾全大局，服务意识强，不冲撞医患人员</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1、工作不积极、不认真、不主动、不细致，</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2、电话铃声三声后不接听电话或故意不听接，不使用规范文明用语，每次扣1分。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3、对待医、患人员态度生、冷、硬，面对就诊问询没有微笑，解答问题不耐心，不热情，每次扣5分。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4、缺乏全局观念，与患者发生争吵，故意激怒患者造成投诉，每次扣5分。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5、发现问题，在能解决范围不主动解决，不汇报科室，每次5分。</w:t>
            </w:r>
            <w:r/>
          </w:p>
        </w:tc>
        <w:tc>
          <w:tcPr>
            <w:tcW w:w="79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w:t>
            </w:r>
            <w:r/>
          </w:p>
          <w:p>
            <w:pPr>
              <w:ind w:left="210" w:right="210"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1、职责范围内专业知识、职业技能掌握熟练2、清楚岗位工作流程并能按要求完成本职工作3、突发事件应急处理能力</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1、科室培训后业务知识不清楚或记不全，辅助技能操作不熟练，每项扣2分</w:t>
            </w:r>
            <w:r/>
          </w:p>
          <w:p>
            <w:pPr>
              <w:ind w:left="210" w:right="210" w:firstLine="0"/>
              <w:jc w:val="left"/>
              <w:keepLines w:val="0"/>
              <w:keepNext w:val="0"/>
              <w:pageBreakBefore w:val="0"/>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2、岗位工作流程不清楚，不能按科室要求完成本职工作，每项扣5分。</w:t>
            </w:r>
            <w:r/>
          </w:p>
          <w:p>
            <w:pPr>
              <w:ind w:left="210" w:right="210" w:firstLine="0"/>
              <w:jc w:val="left"/>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3、遇突发事件或紧急情况，反应不灵敏，处理不得当，每次扣5分。</w:t>
            </w:r>
            <w:r/>
          </w:p>
        </w:tc>
        <w:tc>
          <w:tcPr>
            <w:tcW w:w="79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1、爱岗敬业，工作中发挥正能量；2、职责范围内或科室下达任务、指令和要求时能积极接受并执行3、工作中能按科室要求快迅、准备、无误完成本职工作；4、清晰、准确描述各种事件、汇报和交接</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5、与医护人员合作友好，不敷衍、不推诿.</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1、不尊重岗位，不发正能量，每次扣1分；2、职责范围内不能完成科室安排的工作任务，对待提出的工作要求不能积极接受和服从，每次扣5分；3、在规定的工作时间内不能及时完成当班长</w:t>
            </w:r>
            <w:r>
              <w:rPr>
                <w:rFonts w:hint="eastAsia" w:ascii="宋体" w:hAnsi="宋体" w:eastAsia="宋体" w:cs="宋体"/>
                <w:color w:val="auto"/>
                <w:sz w:val="22"/>
                <w:szCs w:val="22"/>
                <w:highlight w:val="none"/>
                <w:lang w:eastAsia="zh-CN"/>
              </w:rPr>
              <w:t xml:space="preserve">工作</w:t>
            </w:r>
            <w:r>
              <w:rPr>
                <w:rFonts w:hint="eastAsia" w:ascii="宋体" w:hAnsi="宋体" w:eastAsia="宋体" w:cs="宋体"/>
                <w:color w:val="auto"/>
                <w:sz w:val="22"/>
                <w:szCs w:val="22"/>
                <w:highlight w:val="none"/>
              </w:rPr>
              <w:t xml:space="preserve">及完成后工作不达标，每次扣5分；4、对科室发现的意外事件不能清晰、准确描述，汇报，交接每次扣2分。5、与科室医护人员不能友好配合工作，存在敷衍、推诿，每次扣3分。</w:t>
            </w:r>
            <w:r/>
          </w:p>
        </w:tc>
        <w:tc>
          <w:tcPr>
            <w:tcW w:w="79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p>
          <w:p>
            <w:pPr>
              <w:ind w:left="210" w:right="210" w:firstLine="0"/>
              <w:jc w:val="center"/>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w:t>
            </w:r>
            <w:r/>
          </w:p>
        </w:tc>
        <w:tc>
          <w:tcPr>
            <w:tcW w:w="3245"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1、积极参加科室内组织的各类业务学习；2、积极参加科室召开的相关会议主，认真落实科室会议要求；</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3、积极参与科室参观、迎查和开展</w:t>
            </w:r>
            <w:r>
              <w:rPr>
                <w:rFonts w:hint="eastAsia" w:ascii="宋体" w:hAnsi="宋体" w:eastAsia="宋体" w:cs="宋体"/>
                <w:color w:val="auto"/>
                <w:spacing w:val="-1"/>
                <w:sz w:val="22"/>
                <w:szCs w:val="22"/>
                <w:highlight w:val="none"/>
              </w:rPr>
              <w:t xml:space="preserve">满意度调查接待工作。</w:t>
            </w:r>
            <w:r/>
          </w:p>
        </w:tc>
        <w:tc>
          <w:tcPr>
            <w:tcW w:w="4346" w:type="dxa"/>
            <w:vAlign w:val="center"/>
            <w:textDirection w:val="lrTb"/>
            <w:noWrap w:val="false"/>
          </w:tcPr>
          <w:p>
            <w:pPr>
              <w:ind w:left="210" w:right="210" w:firstLine="0"/>
              <w:jc w:val="left"/>
              <w:keepLines w:val="0"/>
              <w:keepNext w:val="0"/>
              <w:pageBreakBefore w:val="0"/>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1、不积极参加科室业务学习，每次扣2次；2、不参加科室例会，不落实科室会议要求，每次扣2分；</w:t>
            </w:r>
            <w:r/>
          </w:p>
          <w:p>
            <w:pPr>
              <w:ind w:left="210" w:right="210" w:firstLine="0"/>
              <w:jc w:val="left"/>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3、不积极参与科室接待迎检、参观和相关满意度调查工作，每次扣5分。</w:t>
            </w:r>
            <w:r/>
          </w:p>
        </w:tc>
        <w:tc>
          <w:tcPr>
            <w:tcW w:w="79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55"/>
        <w:numPr>
          <w:ilvl w:val="0"/>
          <w:numId w:val="0"/>
        </w:numPr>
        <w:ind w:firstLine="2650"/>
        <w:rPr>
          <w:rFonts w:hint="eastAsia" w:ascii="宋体" w:hAnsi="宋体" w:eastAsia="宋体" w:cs="宋体"/>
          <w:color w:val="auto"/>
          <w:sz w:val="44"/>
          <w:szCs w:val="44"/>
          <w:highlight w:val="none"/>
          <w:lang w:val="en-US" w:eastAsia="zh-CN"/>
        </w:rPr>
      </w:pPr>
      <w:r/>
      <w:bookmarkStart w:id="3" w:name="_Toc18997"/>
      <w:r>
        <w:rPr>
          <w:rFonts w:hint="eastAsia" w:ascii="宋体" w:hAnsi="宋体" w:eastAsia="宋体" w:cs="宋体"/>
          <w:color w:val="auto"/>
          <w:sz w:val="22"/>
          <w:szCs w:val="36"/>
          <w:highlight w:val="none"/>
        </w:rPr>
        <w:t xml:space="preserve">物业管理服务人员需求</w:t>
      </w:r>
      <w:r/>
    </w:p>
    <w:tbl>
      <w:tblPr>
        <w:tblStyle w:val="758"/>
        <w:tblpPr w:horzAnchor="page" w:tblpX="1930" w:vertAnchor="text" w:tblpY="506" w:leftFromText="180" w:topFromText="0" w:rightFromText="180" w:bottomFromText="0"/>
        <w:tblW w:w="457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980"/>
        <w:gridCol w:w="1590"/>
        <w:gridCol w:w="2130"/>
        <w:gridCol w:w="1485"/>
        <w:gridCol w:w="1335"/>
      </w:tblGrid>
      <w:tr>
        <w:trPr>
          <w:trHeight w:val="397"/>
        </w:trPr>
        <w:tc>
          <w:tcPr>
            <w:shd w:val="clear" w:color="auto" w:fill="ffffff"/>
            <w:tcBorders>
              <w:bottom w:val="single" w:color="000000" w:sz="4" w:space="0"/>
              <w:right w:val="single" w:color="000000" w:sz="4" w:space="0"/>
            </w:tcBorders>
            <w:tcW w:w="1161" w:type="pct"/>
            <w:vAlign w:val="center"/>
            <w:textDirection w:val="lrTb"/>
            <w:noWrap/>
          </w:tcPr>
          <w:p>
            <w:pPr>
              <w:ind w:firstLine="880"/>
              <w:jc w:val="both"/>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序号</w:t>
            </w:r>
            <w:r/>
          </w:p>
        </w:tc>
        <w:tc>
          <w:tcPr>
            <w:shd w:val="clear" w:color="auto" w:fill="ffffff"/>
            <w:tcBorders>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部门</w:t>
            </w:r>
            <w:r/>
          </w:p>
        </w:tc>
        <w:tc>
          <w:tcPr>
            <w:shd w:val="clear" w:color="auto" w:fill="ffffff"/>
            <w:tcBorders>
              <w:left w:val="single" w:color="000000" w:sz="4" w:space="0"/>
              <w:bottom w:val="single" w:color="000000" w:sz="4" w:space="0"/>
              <w:right w:val="single" w:color="000000" w:sz="4" w:space="0"/>
            </w:tcBorders>
            <w:tcW w:w="1250"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岗位</w:t>
            </w:r>
            <w:r/>
          </w:p>
        </w:tc>
        <w:tc>
          <w:tcPr>
            <w:shd w:val="clear" w:color="auto" w:fill="ffffff"/>
            <w:tcBorders>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人数</w:t>
            </w:r>
            <w:r/>
          </w:p>
        </w:tc>
        <w:tc>
          <w:tcPr>
            <w:shd w:val="clear" w:color="auto" w:fill="ffffff"/>
            <w:tcBorders>
              <w:left w:val="single" w:color="000000" w:sz="4" w:space="0"/>
              <w:bottom w:val="single" w:color="000000" w:sz="4" w:space="0"/>
            </w:tcBorders>
            <w:tcW w:w="783"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备注</w:t>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ind w:firstLine="880"/>
              <w:jc w:val="both"/>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物业服务中心</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ind w:firstLine="880"/>
              <w:jc w:val="both"/>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主管</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ind w:firstLine="880"/>
              <w:jc w:val="both"/>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区域组长</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医技科室</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录字员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收费员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导医</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窗口登记</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供应室</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手术室</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静脉配置中心</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病案室</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消毒员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配送</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总务科仓库</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设备科仓库</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中心药房</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门急诊药房</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陪检</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住院部药房</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绿色通道</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陪检</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收成标</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夜班</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大夜班</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工程组</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水电班</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岗位津贴</w:t>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氧气班</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岗位津贴</w:t>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搬运组</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门急诊保洁，公区</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66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住院部保洁，裙楼，公区</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val="false"/>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生活垃圾</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医疗垃圾</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外围</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助理员</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护理助理员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2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药剂助理员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500"/>
        </w:trPr>
        <w:tc>
          <w:tcPr>
            <w:shd w:val="clear" w:color="auto" w:fill="ffffff"/>
            <w:tcBorders>
              <w:top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33</w:t>
            </w:r>
            <w:r/>
          </w:p>
        </w:tc>
        <w:tc>
          <w:tcPr>
            <w:shd w:val="clear" w:color="auto" w:fill="ffffff"/>
            <w:tcBorders>
              <w:top w:val="single" w:color="000000" w:sz="4" w:space="0"/>
              <w:left w:val="single" w:color="000000" w:sz="4" w:space="0"/>
              <w:right w:val="single" w:color="000000" w:sz="4" w:space="0"/>
            </w:tcBorders>
            <w:tcW w:w="933"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合计人数</w:t>
            </w:r>
            <w:r/>
          </w:p>
        </w:tc>
        <w:tc>
          <w:tcPr>
            <w:shd w:val="clear" w:color="auto" w:fill="ffffff"/>
            <w:tcBorders>
              <w:top w:val="single" w:color="000000" w:sz="4" w:space="0"/>
              <w:left w:val="single" w:color="000000" w:sz="4" w:space="0"/>
              <w:right w:val="single" w:color="000000" w:sz="4" w:space="0"/>
            </w:tcBorders>
            <w:tcW w:w="1250" w:type="pct"/>
            <w:vAlign w:val="center"/>
            <w:textDirection w:val="lrTb"/>
            <w:noWrap/>
          </w:tcPr>
          <w:p>
            <w:pPr>
              <w:jc w:val="center"/>
              <w:rPr>
                <w:rFonts w:hint="eastAsia" w:ascii="宋体" w:hAnsi="宋体" w:eastAsia="宋体" w:cs="宋体"/>
                <w:b w:val="0"/>
                <w:bCs/>
                <w:i w:val="0"/>
                <w:iCs w:val="0"/>
                <w:color w:val="auto"/>
                <w:sz w:val="22"/>
                <w:szCs w:val="22"/>
                <w:highlight w:val="none"/>
                <w:u w:val="none"/>
              </w:rPr>
            </w:pPr>
            <w:r>
              <w:rPr>
                <w:rFonts w:hint="eastAsia" w:ascii="宋体" w:hAnsi="宋体" w:eastAsia="宋体" w:cs="宋体"/>
                <w:b w:val="0"/>
                <w:bCs/>
                <w:i w:val="0"/>
                <w:iCs w:val="0"/>
                <w:color w:val="auto"/>
                <w:sz w:val="22"/>
                <w:szCs w:val="22"/>
                <w:highlight w:val="none"/>
                <w:u w:val="none"/>
              </w:rPr>
            </w:r>
            <w:r/>
          </w:p>
        </w:tc>
        <w:tc>
          <w:tcPr>
            <w:shd w:val="clear" w:color="auto" w:fill="ffffff"/>
            <w:tcBorders>
              <w:top w:val="single" w:color="000000" w:sz="4" w:space="0"/>
              <w:left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315</w:t>
            </w:r>
            <w:r/>
          </w:p>
        </w:tc>
        <w:tc>
          <w:tcPr>
            <w:shd w:val="clear" w:color="auto" w:fill="ffffff"/>
            <w:tcBorders>
              <w:top w:val="single" w:color="000000" w:sz="4" w:space="0"/>
              <w:left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特殊岗位津贴45人</w:t>
            </w:r>
            <w:r/>
          </w:p>
        </w:tc>
      </w:tr>
    </w:tbl>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971"/>
        <w:jc w:val="center"/>
        <w:spacing w:beforeAutospacing="0" w:afterAutospacing="0"/>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第四章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采购需求</w:t>
      </w:r>
      <w:bookmarkEnd w:id="3"/>
      <w:r/>
      <w:r/>
    </w:p>
    <w:p>
      <w:pPr>
        <w:numPr>
          <w:ilvl w:val="0"/>
          <w:numId w:val="0"/>
        </w:numPr>
        <w:ind w:firstLine="442"/>
        <w:keepLines w:val="0"/>
        <w:keepNext w:val="0"/>
        <w:rPr>
          <w:rFonts w:hint="eastAsia" w:ascii="宋体" w:hAnsi="宋体" w:eastAsia="宋体" w:cs="宋体"/>
          <w:b/>
          <w:bCs/>
          <w:color w:val="auto"/>
          <w:sz w:val="22"/>
          <w:szCs w:val="36"/>
          <w:highlight w:val="none"/>
        </w:rPr>
      </w:pPr>
      <w:r/>
      <w:bookmarkStart w:id="4" w:name="_Toc17312"/>
      <w:r/>
      <w:bookmarkStart w:id="5" w:name="_Toc2486"/>
      <w:r/>
      <w:bookmarkStart w:id="6" w:name="_Toc5112"/>
      <w:r>
        <w:rPr>
          <w:rFonts w:hint="eastAsia" w:ascii="宋体" w:hAnsi="宋体" w:eastAsia="宋体" w:cs="宋体"/>
          <w:b/>
          <w:bCs/>
          <w:color w:val="auto"/>
          <w:sz w:val="22"/>
          <w:szCs w:val="36"/>
          <w:highlight w:val="none"/>
        </w:rPr>
        <w:t xml:space="preserve">1</w:t>
      </w:r>
      <w:r>
        <w:rPr>
          <w:rFonts w:hint="eastAsia" w:ascii="宋体" w:hAnsi="宋体" w:eastAsia="宋体" w:cs="宋体"/>
          <w:b/>
          <w:bCs/>
          <w:color w:val="auto"/>
          <w:sz w:val="22"/>
          <w:szCs w:val="36"/>
          <w:highlight w:val="none"/>
          <w:lang w:val="en-US" w:eastAsia="zh-CN"/>
        </w:rPr>
        <w:t xml:space="preserve">.</w:t>
      </w:r>
      <w:r>
        <w:rPr>
          <w:rFonts w:hint="eastAsia" w:ascii="宋体" w:hAnsi="宋体" w:eastAsia="宋体" w:cs="宋体"/>
          <w:b/>
          <w:bCs/>
          <w:color w:val="auto"/>
          <w:sz w:val="22"/>
          <w:szCs w:val="36"/>
          <w:highlight w:val="none"/>
        </w:rPr>
        <w:t xml:space="preserve">项目基本情况</w:t>
      </w:r>
      <w:bookmarkEnd w:id="4"/>
      <w:r/>
      <w:r/>
    </w:p>
    <w:p>
      <w:pPr>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r>
      <w:r/>
    </w:p>
    <w:p>
      <w:pPr>
        <w:pStyle w:val="756"/>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1.1物业</w:t>
      </w:r>
      <w:r>
        <w:rPr>
          <w:rFonts w:hint="eastAsia" w:ascii="宋体" w:hAnsi="宋体" w:eastAsia="宋体" w:cs="宋体"/>
          <w:color w:val="auto"/>
          <w:sz w:val="22"/>
          <w:szCs w:val="21"/>
          <w:highlight w:val="none"/>
          <w:lang w:val="en-US" w:eastAsia="zh-CN"/>
        </w:rPr>
        <w:t xml:space="preserve">情况</w:t>
      </w:r>
      <w:r/>
    </w:p>
    <w:tbl>
      <w:tblPr>
        <w:tblStyle w:val="782"/>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9"/>
        <w:gridCol w:w="5232"/>
      </w:tblGrid>
      <w:tr>
        <w:trPr>
          <w:trHeight w:val="454"/>
        </w:trPr>
        <w:tc>
          <w:tcPr>
            <w:tcW w:w="4039" w:type="dxa"/>
            <w:vAlign w:val="center"/>
            <w:textDirection w:val="lrTb"/>
            <w:noWrap w:val="false"/>
          </w:tcPr>
          <w:p>
            <w:pPr>
              <w:jc w:val="center"/>
              <w:pageBreakBefore w:val="0"/>
              <w:spacing w:line="30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物业名称</w:t>
            </w:r>
            <w:r/>
          </w:p>
        </w:tc>
        <w:tc>
          <w:tcPr>
            <w:tcW w:w="5232" w:type="dxa"/>
            <w:vAlign w:val="center"/>
            <w:textDirection w:val="lrTb"/>
            <w:noWrap w:val="false"/>
          </w:tcPr>
          <w:p>
            <w:pPr>
              <w:jc w:val="center"/>
              <w:pageBreakBefore w:val="0"/>
              <w:spacing w:line="30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物业地址</w:t>
            </w:r>
            <w:r/>
          </w:p>
        </w:tc>
      </w:tr>
      <w:tr>
        <w:trPr>
          <w:trHeight w:val="454"/>
        </w:trPr>
        <w:tc>
          <w:tcPr>
            <w:tcW w:w="4039" w:type="dxa"/>
            <w:vAlign w:val="center"/>
            <w:textDirection w:val="lrTb"/>
            <w:noWrap w:val="false"/>
          </w:tcPr>
          <w:p>
            <w:pPr>
              <w:jc w:val="center"/>
              <w:pageBreakBefore w:val="0"/>
              <w:spacing w:line="30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eastAsia="宋体" w:cs="宋体"/>
                <w:color w:val="auto"/>
                <w:sz w:val="22"/>
                <w:szCs w:val="22"/>
                <w:highlight w:val="none"/>
                <w:lang w:val="en-US" w:eastAsia="zh-CN"/>
              </w:rPr>
              <w:t xml:space="preserve">南院区</w:t>
            </w:r>
            <w:r>
              <w:rPr>
                <w:rFonts w:hint="eastAsia" w:ascii="宋体" w:hAnsi="宋体" w:eastAsia="宋体" w:cs="宋体"/>
                <w:color w:val="auto"/>
                <w:sz w:val="22"/>
                <w:szCs w:val="22"/>
                <w:highlight w:val="none"/>
                <w:lang w:eastAsia="zh-CN"/>
              </w:rPr>
              <w:t xml:space="preserve">物业服务</w:t>
            </w:r>
            <w:r/>
          </w:p>
        </w:tc>
        <w:tc>
          <w:tcPr>
            <w:tcW w:w="5232" w:type="dxa"/>
            <w:vAlign w:val="center"/>
            <w:textDirection w:val="lrTb"/>
            <w:noWrap w:val="false"/>
          </w:tcPr>
          <w:p>
            <w:pPr>
              <w:jc w:val="center"/>
              <w:pageBreakBefore w:val="0"/>
              <w:spacing w:line="30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盐城市第一人民医院</w:t>
            </w:r>
            <w:r>
              <w:rPr>
                <w:rFonts w:hint="eastAsia" w:ascii="宋体" w:hAnsi="宋体" w:eastAsia="宋体" w:cs="宋体"/>
                <w:color w:val="auto"/>
                <w:sz w:val="22"/>
                <w:szCs w:val="22"/>
                <w:highlight w:val="none"/>
                <w:lang w:val="en-US" w:eastAsia="zh-CN"/>
              </w:rPr>
              <w:t xml:space="preserve">南院区</w:t>
            </w:r>
            <w:r/>
          </w:p>
          <w:p>
            <w:pPr>
              <w:jc w:val="center"/>
              <w:pageBreakBefore w:val="0"/>
              <w:spacing w:line="30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（盐城市</w:t>
            </w:r>
            <w:r>
              <w:rPr>
                <w:rFonts w:hint="eastAsia" w:ascii="宋体" w:hAnsi="宋体" w:eastAsia="宋体" w:cs="宋体"/>
                <w:color w:val="auto"/>
                <w:sz w:val="22"/>
                <w:szCs w:val="22"/>
                <w:highlight w:val="none"/>
                <w:lang w:val="en-US" w:eastAsia="zh-CN"/>
              </w:rPr>
              <w:t xml:space="preserve">人民南路66</w:t>
            </w:r>
            <w:r>
              <w:rPr>
                <w:rFonts w:hint="eastAsia" w:ascii="宋体" w:hAnsi="宋体" w:eastAsia="宋体" w:cs="宋体"/>
                <w:color w:val="auto"/>
                <w:sz w:val="22"/>
                <w:szCs w:val="22"/>
                <w:highlight w:val="none"/>
                <w:lang w:eastAsia="zh-CN"/>
              </w:rPr>
              <w:t xml:space="preserve">号）</w:t>
            </w:r>
            <w:r/>
          </w:p>
        </w:tc>
      </w:tr>
    </w:tbl>
    <w:p>
      <w:pPr>
        <w:ind w:firstLine="440"/>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u w:val="none"/>
          <w:lang w:val="en-US" w:eastAsia="zh-CN" w:bidi="ar-SA"/>
        </w:rPr>
        <w:t xml:space="preserve">1.2采购人提供供应商使用的条件:采购人按照规定在物业管理区域内配置必要的物业管理用房。物业管理用房的所有权依法属于采购人。未经采购人同意，物业管理企业不得改变物业管理用房的用途。</w:t>
      </w:r>
      <w:r/>
    </w:p>
    <w:p>
      <w:pPr>
        <w:pStyle w:val="755"/>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2.物业服务范围</w:t>
      </w:r>
      <w:r/>
    </w:p>
    <w:p>
      <w:pPr>
        <w:pStyle w:val="756"/>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（1）物业管理（建筑物）</w:t>
      </w:r>
      <w:r/>
    </w:p>
    <w:tbl>
      <w:tblPr>
        <w:tblStyle w:val="782"/>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96"/>
        <w:gridCol w:w="3401"/>
        <w:gridCol w:w="2625"/>
      </w:tblGrid>
      <w:tr>
        <w:trPr>
          <w:trHeight w:val="454"/>
        </w:trPr>
        <w:tc>
          <w:tcPr>
            <w:gridSpan w:val="2"/>
            <w:tcW w:w="3231" w:type="dxa"/>
            <w:vAlign w:val="center"/>
            <w:textDirection w:val="lrTb"/>
            <w:noWrap w:val="false"/>
          </w:tcPr>
          <w:p>
            <w:pPr>
              <w:jc w:val="center"/>
              <w:pageBreakBefore w:val="0"/>
              <w:spacing w:line="30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名称</w:t>
            </w:r>
            <w:r/>
          </w:p>
        </w:tc>
        <w:tc>
          <w:tcPr>
            <w:tcW w:w="3401" w:type="dxa"/>
            <w:vAlign w:val="center"/>
            <w:textDirection w:val="lrTb"/>
            <w:noWrap w:val="false"/>
          </w:tcPr>
          <w:p>
            <w:pPr>
              <w:jc w:val="center"/>
              <w:pageBreakBefore w:val="0"/>
              <w:spacing w:line="300" w:lineRule="auto"/>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明细</w:t>
            </w:r>
            <w:r/>
          </w:p>
        </w:tc>
        <w:tc>
          <w:tcPr>
            <w:tcW w:w="2625" w:type="dxa"/>
            <w:vAlign w:val="center"/>
            <w:textDirection w:val="lrTb"/>
            <w:noWrap w:val="false"/>
          </w:tcPr>
          <w:p>
            <w:pPr>
              <w:jc w:val="center"/>
              <w:pageBreakBefore w:val="0"/>
              <w:spacing w:line="300"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gridSpan w:val="2"/>
            <w:tcW w:w="3231" w:type="dxa"/>
            <w:vAlign w:val="center"/>
            <w:textDirection w:val="lrTb"/>
            <w:noWrap w:val="false"/>
          </w:tcPr>
          <w:p>
            <w:pPr>
              <w:jc w:val="center"/>
              <w:pageBreakBefore w:val="0"/>
              <w:spacing w:line="300" w:lineRule="auto"/>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南院区建筑楼</w:t>
            </w:r>
            <w:r/>
          </w:p>
        </w:tc>
        <w:tc>
          <w:tcPr>
            <w:tcW w:w="3401" w:type="dxa"/>
            <w:vAlign w:val="center"/>
            <w:textDirection w:val="lrTb"/>
            <w:noWrap w:val="false"/>
          </w:tcPr>
          <w:p>
            <w:pPr>
              <w:jc w:val="center"/>
              <w:pageBreakBefore w:val="0"/>
              <w:spacing w:line="30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门急诊医技楼四层、住院楼九层</w:t>
            </w:r>
            <w:r/>
          </w:p>
        </w:tc>
        <w:tc>
          <w:tcPr>
            <w:tcW w:w="2625" w:type="dxa"/>
            <w:vAlign w:val="center"/>
            <w:vMerge w:val="restart"/>
            <w:textDirection w:val="lrTb"/>
            <w:noWrap w:val="false"/>
          </w:tcPr>
          <w:p>
            <w:pPr>
              <w:pageBreakBefore w:val="0"/>
              <w:spacing w:line="30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135" w:type="dxa"/>
            <w:vAlign w:val="center"/>
            <w:vMerge w:val="restart"/>
            <w:textDirection w:val="lrTb"/>
            <w:noWrap w:val="false"/>
          </w:tcPr>
          <w:p>
            <w:pPr>
              <w:pageBreakBefore w:val="0"/>
              <w:spacing w:line="30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总面积</w:t>
            </w:r>
            <w:r/>
          </w:p>
        </w:tc>
        <w:tc>
          <w:tcPr>
            <w:tcW w:w="2096" w:type="dxa"/>
            <w:vAlign w:val="center"/>
            <w:textDirection w:val="lrTb"/>
            <w:noWrap w:val="false"/>
          </w:tcPr>
          <w:p>
            <w:pPr>
              <w:pageBreakBefore w:val="0"/>
              <w:spacing w:line="30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建筑面积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pageBreakBefore w:val="0"/>
              <w:spacing w:line="300" w:lineRule="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160</w:t>
            </w:r>
            <w:r>
              <w:rPr>
                <w:rFonts w:hint="eastAsia" w:ascii="宋体" w:hAnsi="宋体" w:eastAsia="宋体" w:cs="宋体"/>
                <w:color w:val="auto"/>
                <w:sz w:val="22"/>
                <w:szCs w:val="22"/>
                <w:highlight w:val="none"/>
                <w:lang w:val="en-US" w:eastAsia="zh-CN" w:bidi="ar-SA"/>
              </w:rPr>
              <w:t xml:space="preserve">000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bidi="ar-SA"/>
              </w:rPr>
            </w:r>
            <w:r/>
          </w:p>
        </w:tc>
        <w:tc>
          <w:tcPr>
            <w:tcW w:w="2625" w:type="dxa"/>
            <w:vAlign w:val="center"/>
            <w:vMerge w:val="continue"/>
            <w:textDirection w:val="lrTb"/>
            <w:noWrap w:val="false"/>
          </w:tcPr>
          <w:p>
            <w:pPr>
              <w:pageBreakBefore w:val="0"/>
              <w:spacing w:line="30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r>
        <w:trPr>
          <w:trHeight w:val="454"/>
        </w:trPr>
        <w:tc>
          <w:tcPr>
            <w:tcW w:w="1135" w:type="dxa"/>
            <w:vAlign w:val="center"/>
            <w:vMerge w:val="continue"/>
            <w:textDirection w:val="lrTb"/>
            <w:noWrap w:val="false"/>
          </w:tcPr>
          <w:p>
            <w:pPr>
              <w:ind w:left="0" w:firstLine="0"/>
              <w:jc w:val="center"/>
              <w:pageBreakBefore w:val="0"/>
              <w:spacing w:line="30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6" w:type="dxa"/>
            <w:vAlign w:val="center"/>
            <w:textDirection w:val="lrTb"/>
            <w:noWrap w:val="false"/>
          </w:tcPr>
          <w:p>
            <w:pPr>
              <w:pageBreakBefore w:val="0"/>
              <w:spacing w:line="30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需保洁面积</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p>
        </w:tc>
        <w:tc>
          <w:tcPr>
            <w:tcW w:w="3401" w:type="dxa"/>
            <w:vAlign w:val="center"/>
            <w:textDirection w:val="lrTb"/>
            <w:noWrap w:val="false"/>
          </w:tcPr>
          <w:p>
            <w:pPr>
              <w:jc w:val="center"/>
              <w:pageBreakBefore w:val="0"/>
              <w:spacing w:line="300" w:lineRule="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bidi="ar-SA"/>
              </w:rPr>
              <w:t xml:space="preserve">160</w:t>
            </w:r>
            <w:r>
              <w:rPr>
                <w:rFonts w:hint="eastAsia" w:ascii="宋体" w:hAnsi="宋体" w:eastAsia="宋体" w:cs="宋体"/>
                <w:color w:val="auto"/>
                <w:sz w:val="22"/>
                <w:szCs w:val="22"/>
                <w:highlight w:val="none"/>
                <w:lang w:val="en-US" w:eastAsia="zh-CN" w:bidi="ar-SA"/>
              </w:rPr>
              <w:t xml:space="preserve">000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bidi="ar-SA"/>
              </w:rPr>
            </w:r>
            <w:r/>
          </w:p>
        </w:tc>
        <w:tc>
          <w:tcPr>
            <w:tcW w:w="2625" w:type="dxa"/>
            <w:vAlign w:val="center"/>
            <w:vMerge w:val="continue"/>
            <w:textDirection w:val="lrTb"/>
            <w:noWrap w:val="false"/>
          </w:tcPr>
          <w:p>
            <w:pPr>
              <w:pageBreakBefore w:val="0"/>
              <w:spacing w:line="30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bl>
    <w:p>
      <w:pPr>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56"/>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（2）物业管理（室外）</w:t>
      </w:r>
      <w:r/>
    </w:p>
    <w:tbl>
      <w:tblPr>
        <w:tblStyle w:val="78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5"/>
        <w:gridCol w:w="3280"/>
        <w:gridCol w:w="4259"/>
      </w:tblGrid>
      <w:tr>
        <w:trPr>
          <w:trHeight w:val="332"/>
        </w:trPr>
        <w:tc>
          <w:tcPr>
            <w:tcW w:w="1782" w:type="dxa"/>
            <w:vAlign w:val="center"/>
            <w:textDirection w:val="lrTb"/>
            <w:noWrap w:val="false"/>
          </w:tcPr>
          <w:p>
            <w:pPr>
              <w:jc w:val="center"/>
              <w:pageBreakBefore w:val="0"/>
              <w:spacing w:line="30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名称</w:t>
            </w:r>
            <w:r/>
          </w:p>
        </w:tc>
        <w:tc>
          <w:tcPr>
            <w:tcW w:w="3310" w:type="dxa"/>
            <w:vAlign w:val="center"/>
            <w:textDirection w:val="lrTb"/>
            <w:noWrap w:val="false"/>
          </w:tcPr>
          <w:p>
            <w:pPr>
              <w:jc w:val="center"/>
              <w:pageBreakBefore w:val="0"/>
              <w:spacing w:line="30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rPr>
              <w:t xml:space="preserve">明细</w:t>
            </w:r>
            <w:r/>
          </w:p>
        </w:tc>
        <w:tc>
          <w:tcPr>
            <w:tcW w:w="4305" w:type="dxa"/>
            <w:vAlign w:val="center"/>
            <w:textDirection w:val="lrTb"/>
            <w:noWrap w:val="false"/>
          </w:tcPr>
          <w:p>
            <w:pPr>
              <w:jc w:val="center"/>
              <w:pageBreakBefore w:val="0"/>
              <w:spacing w:line="30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服务内容及标准</w:t>
            </w:r>
            <w:r/>
          </w:p>
        </w:tc>
      </w:tr>
      <w:tr>
        <w:trPr>
          <w:trHeight w:val="454"/>
        </w:trPr>
        <w:tc>
          <w:tcPr>
            <w:tcW w:w="1782"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院内道路</w:t>
            </w:r>
            <w:r/>
          </w:p>
        </w:tc>
        <w:tc>
          <w:tcPr>
            <w:tcW w:w="3310" w:type="dxa"/>
            <w:vAlign w:val="center"/>
            <w:textDirection w:val="lrTb"/>
            <w:noWrap w:val="false"/>
          </w:tcPr>
          <w:p>
            <w:pPr>
              <w:jc w:val="center"/>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约200000</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建筑房屋四周</w:t>
            </w:r>
            <w:r/>
          </w:p>
        </w:tc>
        <w:tc>
          <w:tcPr>
            <w:tcW w:w="3310" w:type="dxa"/>
            <w:vAlign w:val="center"/>
            <w:textDirection w:val="lrTb"/>
            <w:noWrap w:val="false"/>
          </w:tcPr>
          <w:p>
            <w:pPr>
              <w:jc w:val="center"/>
              <w:rPr>
                <w:rFonts w:hint="default"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约130000</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r>
        <w:trPr>
          <w:trHeight w:val="454"/>
        </w:trPr>
        <w:tc>
          <w:tcPr>
            <w:tcW w:w="1782"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医院前后庭院</w:t>
            </w:r>
            <w:r/>
          </w:p>
        </w:tc>
        <w:tc>
          <w:tcPr>
            <w:tcW w:w="331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cs="宋体"/>
                <w:color w:val="auto"/>
                <w:sz w:val="22"/>
                <w:szCs w:val="22"/>
                <w:highlight w:val="none"/>
                <w:vertAlign w:val="baseline"/>
                <w:lang w:val="en-US" w:eastAsia="zh-CN"/>
              </w:rPr>
              <w:t xml:space="preserve">约200000</w:t>
            </w:r>
            <w:r>
              <w:rPr>
                <w:rFonts w:hint="eastAsia" w:ascii="宋体" w:hAnsi="宋体" w:eastAsia="宋体" w:cs="宋体"/>
                <w:color w:val="auto"/>
                <w:sz w:val="22"/>
                <w:szCs w:val="22"/>
                <w:highlight w:val="none"/>
              </w:rPr>
              <w:t xml:space="preserve">㎡</w:t>
            </w:r>
            <w:r/>
          </w:p>
        </w:tc>
        <w:tc>
          <w:tcPr>
            <w:tcW w:w="4305" w:type="dxa"/>
            <w:vAlign w:val="center"/>
            <w:textDirection w:val="lrTb"/>
            <w:noWrap w:val="false"/>
          </w:tcPr>
          <w:p>
            <w:pPr>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详见项目需求“第3.2条保洁服务”</w:t>
            </w:r>
            <w:r/>
          </w:p>
        </w:tc>
      </w:tr>
    </w:tbl>
    <w:p>
      <w:pPr>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55"/>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3.物业管理服务内容及标准</w:t>
      </w:r>
      <w:r/>
    </w:p>
    <w:p>
      <w:pPr>
        <w:pStyle w:val="755"/>
        <w:rPr>
          <w:rFonts w:hint="eastAsia" w:ascii="宋体" w:hAnsi="宋体" w:eastAsia="宋体" w:cs="宋体"/>
          <w:b w:val="0"/>
          <w:bCs w:val="0"/>
          <w:color w:val="auto"/>
          <w:sz w:val="22"/>
          <w:szCs w:val="22"/>
          <w:highlight w:val="none"/>
          <w:u w:val="none"/>
          <w:lang w:val="en-US" w:eastAsia="zh-CN" w:bidi="ar-SA"/>
        </w:rPr>
      </w:pPr>
      <w:r>
        <w:rPr>
          <w:rFonts w:hint="eastAsia" w:ascii="宋体" w:hAnsi="宋体" w:eastAsia="宋体" w:cs="宋体"/>
          <w:b w:val="0"/>
          <w:bCs w:val="0"/>
          <w:color w:val="auto"/>
          <w:sz w:val="22"/>
          <w:szCs w:val="22"/>
          <w:highlight w:val="none"/>
          <w:u w:val="none"/>
          <w:lang w:val="en-US" w:eastAsia="zh-CN" w:bidi="ar-SA"/>
        </w:rPr>
        <w:t xml:space="preserve">物业管理服务包括基本服务、保洁服务、陪检配送服务、医技工勤服务（消毒服务、导医服务）、后勤技术服务（水电维修服务、氧气班服务等）</w:t>
      </w:r>
      <w:bookmarkEnd w:id="5"/>
      <w:r/>
      <w:bookmarkEnd w:id="6"/>
      <w:r>
        <w:rPr>
          <w:rFonts w:hint="eastAsia" w:ascii="宋体" w:hAnsi="宋体" w:eastAsia="宋体" w:cs="宋体"/>
          <w:b w:val="0"/>
          <w:bCs w:val="0"/>
          <w:color w:val="auto"/>
          <w:sz w:val="22"/>
          <w:szCs w:val="22"/>
          <w:highlight w:val="none"/>
          <w:u w:val="none"/>
          <w:lang w:val="en-US" w:eastAsia="zh-CN" w:bidi="ar-SA"/>
        </w:rPr>
        <w:t xml:space="preserve">等。</w:t>
      </w:r>
      <w:r/>
    </w:p>
    <w:p>
      <w:pPr>
        <w:pStyle w:val="756"/>
        <w:rPr>
          <w:rFonts w:hint="eastAsia" w:ascii="宋体" w:hAnsi="宋体" w:eastAsia="宋体" w:cs="宋体"/>
          <w:color w:val="auto"/>
          <w:sz w:val="22"/>
          <w:szCs w:val="21"/>
          <w:highlight w:val="none"/>
          <w:lang w:val="en-US" w:eastAsia="zh-CN" w:bidi="ar"/>
        </w:rPr>
      </w:pPr>
      <w:r/>
      <w:bookmarkStart w:id="7" w:name="_Toc10498"/>
      <w:r/>
      <w:bookmarkStart w:id="8" w:name="_Toc26485"/>
      <w:r/>
      <w:bookmarkStart w:id="9" w:name="_Toc26156"/>
      <w:r>
        <w:rPr>
          <w:rFonts w:hint="eastAsia" w:ascii="宋体" w:hAnsi="宋体" w:eastAsia="宋体" w:cs="宋体"/>
          <w:color w:val="auto"/>
          <w:sz w:val="22"/>
          <w:szCs w:val="21"/>
          <w:highlight w:val="none"/>
          <w:lang w:val="en-US" w:eastAsia="zh-CN"/>
        </w:rPr>
        <w:t xml:space="preserve">3.</w:t>
      </w:r>
      <w:bookmarkEnd w:id="7"/>
      <w:r/>
      <w:bookmarkEnd w:id="8"/>
      <w:r/>
      <w:bookmarkEnd w:id="9"/>
      <w:r>
        <w:rPr>
          <w:rFonts w:hint="eastAsia" w:ascii="宋体" w:hAnsi="宋体" w:eastAsia="宋体" w:cs="宋体"/>
          <w:color w:val="auto"/>
          <w:sz w:val="22"/>
          <w:szCs w:val="21"/>
          <w:highlight w:val="none"/>
          <w:lang w:val="en-US" w:eastAsia="zh-CN" w:bidi="ar"/>
        </w:rPr>
        <w:t xml:space="preserve">1基本服务</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454"/>
        </w:trPr>
        <w:tc>
          <w:tcPr>
            <w:tcW w:w="7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03"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390"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4"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2103"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物业管理目标</w:t>
            </w:r>
            <w:r/>
          </w:p>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与责任</w:t>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结合采购人要求及物业服务实际情况，制定年度管理目标，明确责任分工，并制定配套实施方案。</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服务人员要求</w:t>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784" w:type="dxa"/>
            <w:vAlign w:val="center"/>
            <w:vMerge w:val="continue"/>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（2）根据采购人要求对服务人员进行从业资格审查，审查结果向采购人报备。</w:t>
            </w:r>
            <w:r/>
          </w:p>
        </w:tc>
      </w:tr>
      <w:tr>
        <w:trPr>
          <w:trHeight w:val="454"/>
        </w:trPr>
        <w:tc>
          <w:tcPr>
            <w:tcW w:w="784" w:type="dxa"/>
            <w:vAlign w:val="center"/>
            <w:vMerge w:val="continue"/>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服务人员的年龄、学历、工作经验及资格条件应当与所在岗位能力要求相匹配，服务人员没有刑事犯罪记录，到岗前应当经过必要的岗前培训以达到岗位能力要求，国家、行业规定应当取得职业资格证书或特种作业证书的，应当按规定持证上岗。</w:t>
            </w:r>
            <w:r/>
          </w:p>
        </w:tc>
      </w:tr>
      <w:tr>
        <w:trPr>
          <w:trHeight w:val="454"/>
        </w:trPr>
        <w:tc>
          <w:tcPr>
            <w:tcW w:w="784" w:type="dxa"/>
            <w:vAlign w:val="center"/>
            <w:vMerge w:val="continue"/>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784" w:type="dxa"/>
            <w:vAlign w:val="center"/>
            <w:vMerge w:val="continue"/>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（5）着装分类统一，佩戴标识。仪容整洁、姿态端正、举止文明。用语文明礼貌，态度温和耐心。</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保密和思想</w:t>
            </w:r>
            <w:r/>
          </w:p>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政治教育</w:t>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84" w:type="dxa"/>
            <w:vAlign w:val="center"/>
            <w:vMerge w:val="continue"/>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（2）根据采购人要求与涉密工作岗位的服务人员签订保密协议。保密协议应当向采购人报备。</w:t>
            </w:r>
            <w:r/>
          </w:p>
        </w:tc>
      </w:tr>
      <w:tr>
        <w:trPr>
          <w:trHeight w:val="454"/>
        </w:trPr>
        <w:tc>
          <w:tcPr>
            <w:tcW w:w="784" w:type="dxa"/>
            <w:vAlign w:val="center"/>
            <w:vMerge w:val="continue"/>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84" w:type="dxa"/>
            <w:vAlign w:val="center"/>
            <w:vMerge w:val="continue"/>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（4）发现服务人员违法违规或重大过失，及时报告采购人，并采取必要补救措施。</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档案管理</w:t>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（1）建立物业信息，准确、及时地对文件资料和服务记录进行归档保存，并确保其物理安全。</w:t>
            </w:r>
            <w:r/>
          </w:p>
        </w:tc>
      </w:tr>
      <w:tr>
        <w:trPr>
          <w:trHeight w:val="454"/>
        </w:trPr>
        <w:tc>
          <w:tcPr>
            <w:tcW w:w="784" w:type="dxa"/>
            <w:vAlign w:val="center"/>
            <w:vMerge w:val="continue"/>
            <w:textDirection w:val="lrTb"/>
            <w:noWrap w:val="false"/>
          </w:tcPr>
          <w:p>
            <w:p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ind w:left="0" w:firstLine="0"/>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档案和记录齐全，包括但不限于：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（3）遵守采购人的信息、档案资料保密要求，未经许可，不得将建筑物平面图等资料转作其他用途或向其他单位、个人提供。</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（4）履约结束后，相关资料交还采购人，采购人按政府采购相关规定存档。</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服务改进</w:t>
            </w:r>
            <w:r/>
          </w:p>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8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（2）对不合格服务进行控制，对不合格服务的原因进行识别和分析，及时采取纠正措施，消除不合格的原因，防止不合格再发生。</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（3）需整改问题及时整改完成。</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应急保障预案</w:t>
            </w:r>
            <w:r/>
          </w:p>
        </w:tc>
        <w:tc>
          <w:tcPr>
            <w:tcW w:w="6390"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u w:val="none"/>
                <w:lang w:val="en-US" w:eastAsia="zh-CN"/>
              </w:rPr>
              <w:t xml:space="preserve">应急预案的建立。根据办公楼隐患排查的结果和实际情况，制定专项预案，包括但不限于：火情火警紧急处理应急预案、紧急疏散应急预案、停水停电应急预案、突发传染病应急预案等。</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color w:val="auto"/>
                <w:sz w:val="22"/>
                <w:szCs w:val="22"/>
                <w:highlight w:val="none"/>
                <w:u w:val="no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color w:val="auto"/>
                <w:sz w:val="22"/>
                <w:szCs w:val="22"/>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8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2103"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服务方案及</w:t>
            </w:r>
            <w:r/>
          </w:p>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工作制度</w:t>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（1）制定工作制度，</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人员录用制度、</w:t>
            </w:r>
            <w:r>
              <w:rPr>
                <w:rFonts w:hint="eastAsia" w:ascii="宋体" w:hAnsi="宋体" w:eastAsia="宋体" w:cs="宋体"/>
                <w:b w:val="0"/>
                <w:bCs w:val="0"/>
                <w:color w:val="auto"/>
                <w:sz w:val="22"/>
                <w:szCs w:val="22"/>
                <w:highlight w:val="none"/>
                <w:lang w:val="en-US" w:eastAsia="zh-CN"/>
              </w:rPr>
              <w:t xml:space="preserve">档案管理制度、</w:t>
            </w:r>
            <w:r>
              <w:rPr>
                <w:rFonts w:hint="eastAsia" w:ascii="宋体" w:hAnsi="宋体" w:eastAsia="宋体" w:cs="宋体"/>
                <w:bCs/>
                <w:color w:val="auto"/>
                <w:sz w:val="22"/>
                <w:szCs w:val="22"/>
                <w:highlight w:val="none"/>
              </w:rPr>
              <w:t xml:space="preserve">物业服务管理制度</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公用设施设备相关管理制度等</w:t>
            </w:r>
            <w:r>
              <w:rPr>
                <w:rFonts w:hint="eastAsia" w:ascii="宋体" w:hAnsi="宋体" w:eastAsia="宋体" w:cs="宋体"/>
                <w:bCs/>
                <w:color w:val="auto"/>
                <w:sz w:val="22"/>
                <w:szCs w:val="22"/>
                <w:highlight w:val="none"/>
                <w:lang w:eastAsia="zh-CN"/>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（2）制定</w:t>
            </w:r>
            <w:r>
              <w:rPr>
                <w:rFonts w:hint="eastAsia" w:ascii="宋体" w:hAnsi="宋体" w:eastAsia="宋体" w:cs="宋体"/>
                <w:bCs/>
                <w:color w:val="auto"/>
                <w:sz w:val="22"/>
                <w:szCs w:val="22"/>
                <w:highlight w:val="none"/>
              </w:rPr>
              <w:t xml:space="preserve">项目实施方案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w:t>
            </w:r>
            <w:r>
              <w:rPr>
                <w:rFonts w:hint="eastAsia" w:ascii="宋体" w:hAnsi="宋体" w:eastAsia="宋体" w:cs="宋体"/>
                <w:bCs/>
                <w:color w:val="auto"/>
                <w:sz w:val="22"/>
                <w:szCs w:val="22"/>
                <w:highlight w:val="none"/>
                <w:lang w:val="en-US" w:eastAsia="zh-CN"/>
              </w:rPr>
              <w:t xml:space="preserve">交接</w:t>
            </w:r>
            <w:r>
              <w:rPr>
                <w:rFonts w:hint="eastAsia" w:ascii="宋体" w:hAnsi="宋体" w:eastAsia="宋体" w:cs="宋体"/>
                <w:bCs/>
                <w:color w:val="auto"/>
                <w:sz w:val="22"/>
                <w:szCs w:val="22"/>
                <w:highlight w:val="none"/>
              </w:rPr>
              <w:t xml:space="preserve">方案、人员培训方案、人员稳定性方案、保密方案</w:t>
            </w:r>
            <w:r>
              <w:rPr>
                <w:rFonts w:hint="eastAsia" w:ascii="宋体" w:hAnsi="宋体" w:eastAsia="宋体" w:cs="宋体"/>
                <w:bCs/>
                <w:color w:val="auto"/>
                <w:sz w:val="22"/>
                <w:szCs w:val="22"/>
                <w:highlight w:val="none"/>
                <w:lang w:eastAsia="zh-CN"/>
              </w:rPr>
              <w:t xml:space="preserve">等</w:t>
            </w:r>
            <w:r>
              <w:rPr>
                <w:rFonts w:hint="eastAsia" w:ascii="宋体" w:hAnsi="宋体" w:eastAsia="宋体" w:cs="宋体"/>
                <w:bCs/>
                <w:color w:val="auto"/>
                <w:sz w:val="22"/>
                <w:szCs w:val="22"/>
                <w:highlight w:val="none"/>
              </w:rPr>
              <w:t xml:space="preserve">。</w:t>
            </w:r>
            <w:r/>
          </w:p>
        </w:tc>
      </w:tr>
      <w:tr>
        <w:trPr>
          <w:trHeight w:val="454"/>
        </w:trPr>
        <w:tc>
          <w:tcPr>
            <w:tcW w:w="78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2103"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3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（3）制定</w:t>
            </w:r>
            <w:r>
              <w:rPr>
                <w:rFonts w:hint="eastAsia" w:ascii="宋体" w:hAnsi="宋体" w:eastAsia="宋体" w:cs="宋体"/>
                <w:bCs/>
                <w:color w:val="auto"/>
                <w:sz w:val="22"/>
                <w:szCs w:val="22"/>
                <w:highlight w:val="none"/>
              </w:rPr>
              <w:t xml:space="preserve">物业服务方案</w:t>
            </w:r>
            <w:r>
              <w:rPr>
                <w:rFonts w:hint="eastAsia" w:ascii="宋体" w:hAnsi="宋体" w:eastAsia="宋体" w:cs="宋体"/>
                <w:bCs/>
                <w:color w:val="auto"/>
                <w:sz w:val="22"/>
                <w:szCs w:val="22"/>
                <w:highlight w:val="none"/>
                <w:lang w:eastAsia="zh-CN"/>
              </w:rPr>
              <w:t xml:space="preserve">，主要</w:t>
            </w:r>
            <w:r>
              <w:rPr>
                <w:rFonts w:hint="eastAsia" w:ascii="宋体" w:hAnsi="宋体" w:eastAsia="宋体" w:cs="宋体"/>
                <w:bCs/>
                <w:color w:val="auto"/>
                <w:sz w:val="22"/>
                <w:szCs w:val="22"/>
                <w:highlight w:val="none"/>
              </w:rPr>
              <w:t xml:space="preserve">包括：保洁服务方案、</w:t>
            </w:r>
            <w:r>
              <w:rPr>
                <w:rFonts w:hint="eastAsia" w:ascii="宋体" w:hAnsi="宋体" w:eastAsia="宋体" w:cs="宋体"/>
                <w:bCs/>
                <w:color w:val="auto"/>
                <w:sz w:val="22"/>
                <w:szCs w:val="22"/>
                <w:highlight w:val="none"/>
                <w:lang w:val="en-US" w:eastAsia="zh-CN"/>
              </w:rPr>
              <w:t xml:space="preserve">陪检配送</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val="en-US" w:eastAsia="zh-CN"/>
              </w:rPr>
              <w:t xml:space="preserve">医技工勤服务方案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后勤技术服务方案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导医</w:t>
            </w:r>
            <w:r>
              <w:rPr>
                <w:rFonts w:hint="eastAsia" w:ascii="宋体" w:hAnsi="宋体" w:eastAsia="宋体" w:cs="宋体"/>
                <w:bCs/>
                <w:color w:val="auto"/>
                <w:sz w:val="22"/>
                <w:szCs w:val="22"/>
                <w:highlight w:val="none"/>
              </w:rPr>
              <w:t xml:space="preserve">服务方案</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电梯运行服务方案等</w:t>
            </w:r>
            <w:r>
              <w:rPr>
                <w:rFonts w:hint="eastAsia" w:ascii="宋体" w:hAnsi="宋体" w:eastAsia="宋体" w:cs="宋体"/>
                <w:bCs/>
                <w:color w:val="auto"/>
                <w:sz w:val="22"/>
                <w:szCs w:val="22"/>
                <w:highlight w:val="none"/>
              </w:rPr>
              <w:t xml:space="preserve">。</w:t>
            </w:r>
            <w:r/>
          </w:p>
        </w:tc>
      </w:tr>
    </w:tbl>
    <w:p>
      <w:pPr>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56"/>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3.1物业管理整体方案要求</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108"/>
        <w:gridCol w:w="6405"/>
      </w:tblGrid>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29"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物业管理目标与责任要求</w:t>
            </w:r>
            <w:r/>
          </w:p>
        </w:tc>
        <w:tc>
          <w:tcPr>
            <w:tcW w:w="6467" w:type="dxa"/>
            <w:vAlign w:val="center"/>
            <w:textDirection w:val="lrTb"/>
            <w:noWrap w:val="false"/>
          </w:tcPr>
          <w:p>
            <w:pPr>
              <w:jc w:val="center"/>
              <w:keepLines w:val="0"/>
              <w:keepNext w:val="0"/>
              <w:pageBreakBefore w:val="0"/>
              <w:spacing w:line="240" w:lineRule="atLeas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相关要求说明</w:t>
            </w:r>
            <w:r/>
          </w:p>
        </w:tc>
      </w:tr>
      <w:tr>
        <w:trPr>
          <w:trHeight w:val="932"/>
        </w:trPr>
        <w:tc>
          <w:tcPr>
            <w:shd w:val="clear" w:color="auto" w:fill="auto"/>
            <w:tcW w:w="794"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w:t>
            </w:r>
            <w:r/>
          </w:p>
        </w:tc>
        <w:tc>
          <w:tcPr>
            <w:shd w:val="clear" w:color="auto" w:fill="auto"/>
            <w:tcW w:w="2129"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总体要求</w:t>
            </w:r>
            <w:r/>
          </w:p>
        </w:tc>
        <w:tc>
          <w:tcPr>
            <w:shd w:val="clear" w:color="auto" w:fill="auto"/>
            <w:tcW w:w="6467" w:type="dxa"/>
            <w:vAlign w:val="center"/>
            <w:textDirection w:val="lrTb"/>
            <w:noWrap w:val="false"/>
          </w:tcPr>
          <w:p>
            <w:pPr>
              <w:ind w:firstLine="420"/>
              <w:jc w:val="left"/>
              <w:keepLines w:val="0"/>
              <w:keepNext w:val="0"/>
              <w:pageBreakBefore w:val="0"/>
              <w:spacing w:line="4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为做好盐城市第一人民医院南院区医疗场所物业服务管理，按照市场化运作，切实履行物业承包合同，使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2129" w:type="dxa"/>
            <w:vAlign w:val="center"/>
            <w:textDirection w:val="lrTb"/>
            <w:noWrap w:val="false"/>
          </w:tcPr>
          <w:p>
            <w:pPr>
              <w:numPr>
                <w:ilvl w:val="0"/>
                <w:numId w:val="0"/>
              </w:numPr>
              <w:ind w:firstLine="420"/>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物业管理目标</w:t>
            </w:r>
            <w:r/>
          </w:p>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保障医院正常运转、提升医疗服务质量，需围绕 “高效、洁净、舒适、专业” 四大核心目标。</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（1）提升运营效率，支撑医疗流程。</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后勤保障高效化：优化保洁、维修、物资配送等流程，例如：保洁人员按“污染区-半污染区-清洁区”的顺序作业，避免交叉感染，同时确保诊室、病房在患者轮换间隙快速清洁消毒；</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工程维修团队实行“紧急报修10分钟响应、2小时内处理、24小时值班机制；常规报修12小时作出响应”，保障医疗器械、水电系统等及时恢复使用；</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协助医院进行标本送检、病院陪检、单据递送、急救病人搬运、物资（如药品、耗材、被服）的运输和分发等工作，减少医护人员非医疗工作负担。</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（2）维持洁净环境，符合医疗标准。</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1）清洁与消毒专业化：严格遵循《医院消毒卫生标准》，对不同区域采取差异化清洁措施。</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普通病房：每日清洁消毒，更换床单位，对高频接触表面（门把手、床头柜）进行擦拭消毒；</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手术室、产房：采用“术前彻底消毒+术后终末消毒”模式，使用符合医疗标准的消毒剂（如含氯消毒剂），并定期进行环境微生物检测；</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医疗废物收集：按规范收集、暂存、转运医疗废物（如针管、感染性敷料），避免环境污染和交叉感染。</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2）环境指标达标：控制病房、手术室的温湿度（如手术室温度保持在22-25℃、噪声（白天≤55分贝，夜间≤40分贝）、空气质量（定期通风或使用新风系统），为患者提供适宜的康复环境。</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（3）强化专业服务能力，适配医院特殊性。</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人员专业化：物业团队需具备医疗相关知识，例如：保洁、维修人员需接受院感防控培训（如穿脱防护服、医疗废物分类）；特殊区域（如 ICU、放射科）的物业人员需掌握辐射防护、无菌操作等基础技能。</w:t>
            </w:r>
            <w:r/>
          </w:p>
          <w:p>
            <w:pPr>
              <w:jc w:val="left"/>
              <w:keepLines w:val="0"/>
              <w:keepNext w:val="0"/>
              <w:pageBreakBefore w:val="0"/>
              <w:spacing w:line="400" w:lineRule="exact"/>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pacing w:val="-5"/>
                <w:sz w:val="22"/>
                <w:szCs w:val="22"/>
                <w:highlight w:val="none"/>
                <w:lang w:val="en-US" w:eastAsia="zh-CN" w:bidi="ar-SA"/>
              </w:rPr>
              <w:t xml:space="preserve">应急响应专业化：配合医院制定应急预案（如火灾、停电、突发传染病），在紧急情况下快速联动，例如：停电时协助启动备用电源，疫情期间协助搭建隔离通道、进行环境消杀。</w:t>
            </w:r>
            <w:r/>
          </w:p>
        </w:tc>
      </w:tr>
      <w:tr>
        <w:trPr>
          <w:trHeight w:val="932"/>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2129" w:type="dxa"/>
            <w:vAlign w:val="center"/>
            <w:textDirection w:val="lrTb"/>
            <w:noWrap w:val="false"/>
          </w:tcPr>
          <w:p>
            <w:pPr>
              <w:numPr>
                <w:ilvl w:val="0"/>
                <w:numId w:val="0"/>
              </w:numPr>
              <w:jc w:val="left"/>
              <w:keepLines w:val="0"/>
              <w:keepNext w:val="0"/>
              <w:pageBreakBefore w:val="0"/>
              <w:spacing w:line="500" w:lineRule="exact"/>
              <w:widowControl w:val="off"/>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物业管理服务的重点和难点</w:t>
            </w:r>
            <w:r/>
          </w:p>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6467" w:type="dxa"/>
            <w:vAlign w:val="center"/>
            <w:textDirection w:val="lrTb"/>
            <w:noWrap w:val="false"/>
          </w:tcPr>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院感防控类服务</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环境指标控制服务：明确病房温湿度（夏季 24-26℃，冬季 20-22℃，湿度 40%-60%）、噪声（门诊≤60分贝，病房夜间≤40分贝）、空气质量（每月检测 PM2.5≤35μg/m³，细菌总数≤4cfu/皿）的量化要求。</w:t>
            </w:r>
            <w:r/>
          </w:p>
          <w:p>
            <w:pPr>
              <w:numPr>
                <w:ilvl w:val="0"/>
                <w:numId w:val="0"/>
              </w:numPr>
              <w:ind w:firstLine="420"/>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t xml:space="preserve">物资流转服务：药品/耗材转运需配备恒温转运箱（冷藏药品温度控制在2-8℃），每日定时配送，误差不超过30分钟。</w:t>
            </w:r>
            <w:r/>
          </w:p>
          <w:p>
            <w:pPr>
              <w:jc w:val="left"/>
              <w:keepLines w:val="0"/>
              <w:keepNext w:val="0"/>
              <w:pageBreakBefore w:val="0"/>
              <w:spacing w:line="400" w:lineRule="exact"/>
              <w:widowControl/>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 w:val="0"/>
                <w:bCs w:val="0"/>
                <w:color w:val="auto"/>
                <w:spacing w:val="-5"/>
                <w:sz w:val="22"/>
                <w:szCs w:val="22"/>
                <w:highlight w:val="none"/>
                <w:lang w:val="en-US" w:eastAsia="zh-CN" w:bidi="ar-SA"/>
              </w:rPr>
            </w:r>
            <w:r/>
          </w:p>
        </w:tc>
      </w:tr>
    </w:tbl>
    <w:p>
      <w:pPr>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br w:type="page" w:clear="all"/>
      </w:r>
      <w:r/>
    </w:p>
    <w:p>
      <w:pPr>
        <w:pStyle w:val="756"/>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3.2专项实施要求</w:t>
      </w:r>
      <w:r/>
    </w:p>
    <w:tbl>
      <w:tblPr>
        <w:tblStyle w:val="782"/>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859"/>
        <w:gridCol w:w="6677"/>
      </w:tblGrid>
      <w:tr>
        <w:trPr>
          <w:trHeight w:val="454"/>
        </w:trPr>
        <w:tc>
          <w:tcPr>
            <w:tcW w:w="778"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85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6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78"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85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手术室管理要求</w:t>
            </w:r>
            <w:r/>
          </w:p>
        </w:tc>
        <w:tc>
          <w:tcPr>
            <w:tcW w:w="6661"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ind w:left="0"/>
              <w:jc w:val="left"/>
              <w:keepLines w:val="0"/>
              <w:keepNext w:val="0"/>
              <w:pageBreakBefore w:val="0"/>
              <w:spacing w:line="24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工作标准：工人要求统一着装，衣、帽、鞋、工具等自备，符合手术室服装要求且区别于手术室工作服；因违反操作规程造成不良后果，责任自负；适应弹性排班工作制，中午连续上班者，午饭自行妥善解决。</w:t>
            </w:r>
            <w:r/>
          </w:p>
        </w:tc>
      </w:tr>
      <w:tr>
        <w:trPr>
          <w:trHeight w:val="454"/>
        </w:trPr>
        <w:tc>
          <w:tcPr>
            <w:tcW w:w="778"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85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ICU管理要求</w:t>
            </w:r>
            <w:r/>
          </w:p>
        </w:tc>
        <w:tc>
          <w:tcPr>
            <w:tcW w:w="6661"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（1）环境清洁与消毒服务​</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特殊区域处理：对隔离病房、污染物暂存区等高危区域，需按照生物安全防护要求进行专项清洁消毒，操作人员需穿戴全套防护装备，确保污染物妥善处理。​</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（2）感染控制辅助服务​</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织物管理：患者床单、被套、医护人员工作服等织物需专车收集、单独清洗消毒，采用高温灭菌处理，确保洗涤后达到无菌标准。织物存放区需干燥、通风，避免二次污染。​</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卫生支持：在 ICU 入口、病房门口、治疗区等位置设置免洗手消毒凝胶、消毒湿巾等，定期补充并检查有效期，协助医护人员及探视人员做好卫生。​</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（3）设施设备维护服务​</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应急设施保障：定期检查消防设施（灭火器、消防栓、烟感报警器）、应急照明、呼叫系统等，确保完好可用，每月进行 1 次模拟应急演练，保障突发情况时的设施正常启动。</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（4）人员与秩序管理服务​</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出入管理：严格管控 ICU 入口，核对进入人员的身份（医护人员、患者家属、维修人员等），登记出入时间及事由，禁止无关人员进入。对探视人员进行引导，督促其穿戴防护用品（口罩、鞋套、隔离衣等）。​</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陪护支持：协助医护人员为患者家属提供简单指引（如探视流程、等候区位置），维护等候区秩序，保持环境安静整洁，及时清理等候区的垃圾和杂物。​</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人员健康管理：物业服务人员需持有健康证，每年进行 2 次体检，每日上岗前测量体温，确保无传染性疾病。工作中全程佩戴口罩、手套等防护用品，定期接受感染控制培训。​</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（5）应急响应服务​</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快速响应机制：建立24小时应急服务热线，针对ICU 内的突发情况（如呕吐物清理、设备故障、液体泄漏等），确保5分钟内到场处理，30分钟内完成应急清洁或协调解决。​</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疫情防控预案：当出现流感等呼吸道传染病疫情时，立即启动应急预案，增加消毒频次，协助设置临时隔离区域，配合医护人员做好流行病学调查相关的环境处理工作。​</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（6）服务质量监督与记录​</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全程可追溯：对每日清洁消毒、废弃物转运、设施巡检等工作进行详细记录，包括时间、操作人员、使用的消毒剂型号、消毒区域等信息，形成纸质或电子台账，便于医院感染控制部门查阅和追溯。​</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定期沟通反馈：每周与ICU 医护团队召开沟通会，收集服务改进建议，针对问题制定整改方案并跟踪落实。每月提交服务质量报告，包含各项指标达标情况（如消毒合格率、应急响应及时率等）。</w:t>
            </w:r>
            <w:r/>
          </w:p>
        </w:tc>
      </w:tr>
      <w:tr>
        <w:trPr>
          <w:trHeight w:val="454"/>
        </w:trPr>
        <w:tc>
          <w:tcPr>
            <w:tcW w:w="778"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185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急诊中心物业服务要求</w:t>
            </w:r>
            <w:r/>
          </w:p>
        </w:tc>
        <w:tc>
          <w:tcPr>
            <w:tcW w:w="6661"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（1）环境清洁与动态消毒服务</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特殊场景处理：应对批量伤员（如事故、疫情）时，需快速调配清洁人员，划分污染区、半污染区、清洁区，使用一次性防护装备和专用工具，避免不同区域交叉污染。</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（2）秩序维护与应急协同服务</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（3）设施设备保障与快速响应服务</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物资补给协助：定期检查并补充急诊大厅的口罩、洗手液、纸杯、饮用水等便民物资，协助医护人员整理抢救室的耗材（如纱布、消毒液），确保物资摆放有序、随用随取。</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（4）特殊人群服务与便民支持</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（5）服务质量与沟通机制</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实时反馈渠道：在急诊大厅设置意见箱，每日收集患者及医护人员对物业服务的反馈（如清洁不及时、指引不到位），24 小时内回复处理结果。</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tc>
      </w:tr>
      <w:tr>
        <w:trPr>
          <w:trHeight w:val="454"/>
        </w:trPr>
        <w:tc>
          <w:tcPr>
            <w:tcW w:w="778"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1855"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院感防控物业服务要求</w:t>
            </w:r>
            <w:r/>
          </w:p>
        </w:tc>
        <w:tc>
          <w:tcPr>
            <w:tcW w:w="6661"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（1）分级清洁与精准消毒​</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 6 小时消毒 1 次，地面采用 “湿式清扫 + 拖拭消毒” 组合方式，避免扬尘传播。​</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 30 分钟方可再次使用。​</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（2）医疗废物闭环管理​</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交接溯源管理：建立医疗废物交接台账，记录废物种类、重量、转运人、接收人等信息，台账保存至少 3 年，确保全程可追溯。​</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（3）人员防护与行为规范​</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交叉感染阻断：清洁工具严格执行“一室一换、一用一消毒”，拖布、抹布使用后用500mg/L含氯消毒剂浸泡30分钟，晾干后分区存放（不同颜色对应不同区域）；禁止在诊疗区、候诊区进食、饮水，工作期间不触碰面部、口鼻。​</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（4）环境监测与持续改进​</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ind w:left="0"/>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tc>
      </w:tr>
    </w:tbl>
    <w:p>
      <w:pPr>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56"/>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3.3交接过渡方案</w:t>
      </w:r>
      <w:r/>
    </w:p>
    <w:tbl>
      <w:tblPr>
        <w:tblStyle w:val="782"/>
        <w:tblW w:w="506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221"/>
      </w:tblGrid>
      <w:tr>
        <w:trPr>
          <w:trHeight w:val="454"/>
        </w:trPr>
        <w:tc>
          <w:tcPr>
            <w:tcW w:w="780"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3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22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686"/>
        </w:trPr>
        <w:tc>
          <w:tcPr>
            <w:tcW w:w="780"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143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交接过渡</w:t>
            </w:r>
            <w:r/>
          </w:p>
        </w:tc>
        <w:tc>
          <w:tcPr>
            <w:tcW w:w="7221"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tc>
      </w:tr>
      <w:tr>
        <w:trPr>
          <w:trHeight w:val="454"/>
        </w:trPr>
        <w:tc>
          <w:tcPr>
            <w:tcW w:w="780"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143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提供手术室、ICU、医疗垃圾收集、急诊中心岗位培训</w:t>
            </w:r>
            <w:r/>
          </w:p>
        </w:tc>
        <w:tc>
          <w:tcPr>
            <w:tcW w:w="7221" w:type="dxa"/>
            <w:vAlign w:val="center"/>
            <w:textDirection w:val="lrTb"/>
            <w:noWrap w:val="false"/>
          </w:tcPr>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（1）基础认知培训</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环境与院感风险认知：系统讲解手术室分区（限制区、半限制区、非限制区）的划分标准及进入要求，明确各区域的洁净级别（如百级、千级手术间的空气含菌量标准），通过案例分析（如因环境清洁不到位导致的手术部位感染事件）强化风险意识，培训时长不少于8小时。​</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核心知识学习：重点掌握《手术室消毒技术规范》《医疗废物管理条例》中与物业工作相关的条款，熟记手术室 “三查七对”（查区域、查工具、查流程；对消毒剂浓度、对操作时间、对防护装备等）的具体要求，考核通过后方可进入实操阶段。​</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（2）操作技能培训</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清洁消毒专项训练：​</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间终末清洁：模拟术后场景，训练“由上至下、由洁至污”的擦拭顺序（先手术灯，天花板，再墙面、器械台，最后地面），掌握手术床底部、器械车缝隙、墙角等隐蔽部位的清洁技巧，使用含氯消毒剂（浓度1000mg/L）时需练习精准配比（如 2000ml水加5ml消毒剂），确保作用时间≥30分钟。​</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高风险设备清洁：专项培训无影灯、电刀主机、输液架等设备的外部消毒流程，强调“专用抹布 + 螺旋式擦拭”法，禁止触碰设备内部接口或无菌管路，训练时长累计不少于16小时，需通过实操考核（清洁后采样检测菌落数≤2CFU/皿）。​</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物料转运规范：​</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无菌物品传递：学习手术室物流通道的使用规则，训练 “缓冲区双人核对” 流程（核对包外指示胶带、灭菌日期），掌握无菌包搬运时的 “平托法”（避免挤压、倾斜），禁止跨越无菌区传递物品。​</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医疗废物处置：模拟手术废弃敷料、刀片等锐器的分类封装，训练 “鹅颈式封口 + 双重包装” 技术，重点练习利器盒的规范投放（距地面 1.2 米高度投放，避免手部接触盒口），确保转运路线全程不经过手术间门口。</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（3）日常考核机制​</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实操抽查：每周随机抽取1项操作（如手术间地面消毒）进行考核，重点检查消毒剂浓度、擦拭轨迹、工具分区使用等细节，连续3次达标方可转为正式上岗。​</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每年参与2次手术室新技术配套培训（如层流系统维护配合、机器人手术间清洁要点），掌握新型消毒剂（如过氧乙酸）的使用注意事项，考核通过后授予相应操作权限。​</w:t>
            </w:r>
            <w:r/>
          </w:p>
          <w:p>
            <w:pPr>
              <w:ind w:left="0"/>
              <w:jc w:val="left"/>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每季度参与1次多部门联合演练（与手术室护士、感染控制科共同模拟突发感染事件），提升跨团队协同处置能力。</w:t>
            </w:r>
            <w:r/>
          </w:p>
        </w:tc>
      </w:tr>
    </w:tbl>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56"/>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3.4保洁服务</w:t>
      </w:r>
      <w:r/>
    </w:p>
    <w:tbl>
      <w:tblPr>
        <w:tblStyle w:val="782"/>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434"/>
        <w:gridCol w:w="7102"/>
      </w:tblGrid>
      <w:tr>
        <w:trPr>
          <w:trHeight w:val="454"/>
        </w:trPr>
        <w:tc>
          <w:tcPr>
            <w:tcW w:w="787"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448"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7172"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448"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基本要求</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（1）建立保洁服务的工作制度及工作计划，并按照执行。</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（2）做好保洁服务工作记录，记录填写规范、保存完好。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448"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（4）进入保密区域时，有采购人相关人员全程在场。</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病区保洁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病区及病房的医护办公室、治疗室、换药室、病房等所有诊疗场所的地面、墙壁、房顶、门窗、卫生间、卫生设施（洗面池、马桶等）及病房床单元设施（包括设备带、床头柜、病床、陪护椅、贮藏柜、方凳等）的保洁，以及病区走廊、公用厕所的保洁，微波炉等设备设施的保洁及管理。</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448"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住院楼保洁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负责住院大厅地面、四周墙壁、顶层、门窗、玻璃幕墙、走廊、厕所、内外楼梯、电梯轿厢、内阳台、外平台的保洁。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448"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手术室保洁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负责手术室各手术间、麻醉复苏室、洗澡间、卫生间、储物间、医护办公室等手术用房及辅助用房的地面、内外走廊、门窗的保洁，以及病员休息室的保洁。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1448" w:type="dxa"/>
            <w:vAlign w:val="center"/>
            <w:textDirection w:val="lrTb"/>
            <w:noWrap w:val="false"/>
          </w:tcPr>
          <w:p>
            <w:pPr>
              <w:jc w:val="center"/>
              <w:keepLines w:val="0"/>
              <w:keepNext w:val="0"/>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急诊区保洁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负责急诊内、外、儿等各诊疗室；注射室、抢救室、观察病房、输液大厅、治疗室、门诊手术室、换药室等诊疗场所的地面、门窗、墙壁、设备设施的保洁。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tcW w:w="1448"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门诊楼的保洁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门诊大厅、各层卫生间、楼梯、扶手及办公区域、各层走廊等区域的保洁。负责门诊楼、内、外、妇、儿、中医、皮肤、五官等科室的诊疗室、检查室、治疗室、换药室、儿童输液大厅等诊疗场所的地面、墙壁、门窗、设备、设施等处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tcW w:w="1448"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行政办公区保洁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负责院长室、职能科室等的地面、墙壁、门窗的保洁以及总值班室地面、门窗、卫生间的保洁（定期换洗床单元）。</w:t>
            </w:r>
            <w:r/>
          </w:p>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c>
          <w:tcPr>
            <w:tcW w:w="1448"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会议室的保洁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负责会议室、地面、门窗、设备设施的保洁。</w:t>
            </w:r>
            <w:r/>
          </w:p>
        </w:tc>
      </w:tr>
      <w:tr>
        <w:trPr>
          <w:trHeight w:val="1346"/>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W w:w="1448"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医技科室的保洁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负责影像科（含放射、CT、超声）、检验科、理疗科、病理科、胃镜室、心脑电图室等所有科室的门窗、墙壁、地面的保洁，以及楼梯、公用厕所、各层走廊的保洁。</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1448"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外环保洁</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负责医院范围内的道路，房屋四周、前后庭院的保洁，包括清除杂草（绿化维保范围除外）。</w:t>
            </w:r>
            <w:r/>
          </w:p>
        </w:tc>
      </w:tr>
      <w:tr>
        <w:trPr>
          <w:trHeight w:val="454"/>
        </w:trPr>
        <w:tc>
          <w:tcPr>
            <w:tcW w:w="787"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W w:w="1448"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其它事项</w:t>
            </w:r>
            <w:r/>
          </w:p>
        </w:tc>
        <w:tc>
          <w:tcPr>
            <w:tcW w:w="7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负责将各病区（科室）的生活垃圾运至指定地点，协助收集医疗废弃物；协助护士做好无陪病人生活护理，协助标本分送、血库血领取、会诊单、报表、医疗、行政各种用单递送；洗胃水的前期准备；送取维修的小型仪器；消毒包送取、消毒液及医用耗材的领取；协助护士长做好资产管理；完成科内随机性，指令性任务。</w:t>
            </w:r>
            <w:r/>
          </w:p>
          <w:p>
            <w:pPr>
              <w:jc w:val="left"/>
              <w:keepLines w:val="0"/>
              <w:keepNext w:val="0"/>
              <w:pageBreakBefore w:val="0"/>
              <w:spacing w:line="24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配合院方做好各项创建活动和上级部门的检查工作，完成突击、抢险等安全应急工作。如遇灾害天气（如台风、暴雨、大雪、冰雹等）应在第一时间内响应，做好灾后清理工作。</w:t>
            </w:r>
            <w:r/>
          </w:p>
        </w:tc>
      </w:tr>
    </w:tbl>
    <w:p>
      <w:pPr>
        <w:rPr>
          <w:rFonts w:hint="eastAsia" w:ascii="宋体" w:hAnsi="宋体" w:eastAsia="宋体" w:cs="宋体"/>
          <w:color w:val="auto"/>
          <w:sz w:val="22"/>
          <w:szCs w:val="21"/>
          <w:highlight w:val="none"/>
          <w:lang w:val="en-US" w:eastAsia="zh-CN"/>
        </w:rPr>
        <w:outlineLvl w:val="9"/>
      </w:pPr>
      <w:r>
        <w:rPr>
          <w:rFonts w:hint="eastAsia" w:ascii="宋体" w:hAnsi="宋体" w:eastAsia="宋体" w:cs="宋体"/>
          <w:color w:val="auto"/>
          <w:sz w:val="22"/>
          <w:szCs w:val="21"/>
          <w:highlight w:val="none"/>
          <w:lang w:val="en-US" w:eastAsia="zh-CN"/>
        </w:rPr>
      </w:r>
      <w:r/>
    </w:p>
    <w:p>
      <w:pPr>
        <w:pStyle w:val="756"/>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3.4.1具体清洁要求</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2060"/>
        <w:gridCol w:w="6364"/>
      </w:tblGrid>
      <w:tr>
        <w:trPr>
          <w:trHeight w:val="454"/>
        </w:trPr>
        <w:tc>
          <w:tcPr>
            <w:tcW w:w="880" w:type="dxa"/>
            <w:vAlign w:val="center"/>
            <w:textDirection w:val="lrTb"/>
            <w:noWrap w:val="false"/>
          </w:tcPr>
          <w:p>
            <w:pPr>
              <w:jc w:val="center"/>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序号</w:t>
            </w:r>
            <w:r/>
          </w:p>
        </w:tc>
        <w:tc>
          <w:tcPr>
            <w:tcW w:w="2080" w:type="dxa"/>
            <w:vAlign w:val="center"/>
            <w:textDirection w:val="lrTb"/>
            <w:noWrap w:val="false"/>
          </w:tcPr>
          <w:p>
            <w:pPr>
              <w:jc w:val="center"/>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材质</w:t>
            </w:r>
            <w:r/>
          </w:p>
        </w:tc>
        <w:tc>
          <w:tcPr>
            <w:tcW w:w="6430" w:type="dxa"/>
            <w:vAlign w:val="center"/>
            <w:textDirection w:val="lrTb"/>
            <w:noWrap w:val="false"/>
          </w:tcPr>
          <w:p>
            <w:pPr>
              <w:jc w:val="center"/>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清洁要求</w:t>
            </w:r>
            <w:r/>
          </w:p>
        </w:tc>
      </w:tr>
      <w:tr>
        <w:trPr>
          <w:trHeight w:val="454"/>
        </w:trPr>
        <w:tc>
          <w:tcPr>
            <w:tcW w:w="880" w:type="dxa"/>
            <w:vAlign w:val="center"/>
            <w:vMerge w:val="restart"/>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w:t>
            </w:r>
            <w:r/>
          </w:p>
        </w:tc>
        <w:tc>
          <w:tcPr>
            <w:tcW w:w="2080" w:type="dxa"/>
            <w:vAlign w:val="center"/>
            <w:vMerge w:val="restart"/>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环氧地坪地面</w:t>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清理垃圾：清理地面上的垃圾和杂物。</w:t>
            </w:r>
            <w:r/>
          </w:p>
        </w:tc>
      </w:tr>
      <w:tr>
        <w:trPr>
          <w:trHeight w:val="454"/>
        </w:trPr>
        <w:tc>
          <w:tcPr>
            <w:tcW w:w="880" w:type="dxa"/>
            <w:vAlign w:val="center"/>
            <w:vMerge w:val="continue"/>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80" w:type="dxa"/>
            <w:vAlign w:val="center"/>
            <w:vMerge w:val="continue"/>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color w:val="auto"/>
                <w:sz w:val="22"/>
                <w:szCs w:val="22"/>
                <w:highlight w:val="none"/>
                <w:vertAlign w:val="baseline"/>
                <w:lang w:val="en-US" w:eastAsia="zh-CN"/>
              </w:rPr>
              <w:t xml:space="preserve">滚刷或颗粒机进行深层清洗：对于顽固沉积物，需要使用滚刷或颗粒机进行深层清洗。</w:t>
            </w:r>
            <w:r/>
          </w:p>
        </w:tc>
      </w:tr>
      <w:tr>
        <w:trPr>
          <w:trHeight w:val="454"/>
        </w:trPr>
        <w:tc>
          <w:tcPr>
            <w:tcW w:w="880" w:type="dxa"/>
            <w:vAlign w:val="center"/>
            <w:vMerge w:val="continue"/>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 （4）</w:t>
            </w:r>
            <w:r>
              <w:rPr>
                <w:rFonts w:hint="eastAsia" w:ascii="宋体" w:hAnsi="宋体" w:eastAsia="宋体" w:cs="宋体"/>
                <w:color w:val="auto"/>
                <w:sz w:val="22"/>
                <w:szCs w:val="22"/>
                <w:highlight w:val="none"/>
                <w:vertAlign w:val="baseline"/>
                <w:lang w:val="en-US" w:eastAsia="zh-CN"/>
              </w:rPr>
              <w:t xml:space="preserve">浸泡：将清洁剂或去污剂浸泡在环氧地坪上，加强去除污渍的效果。</w:t>
            </w:r>
            <w:r/>
          </w:p>
        </w:tc>
      </w:tr>
      <w:tr>
        <w:trPr>
          <w:trHeight w:val="454"/>
        </w:trPr>
        <w:tc>
          <w:tcPr>
            <w:tcW w:w="880" w:type="dxa"/>
            <w:vAlign w:val="center"/>
            <w:vMerge w:val="continue"/>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color w:val="auto"/>
                <w:sz w:val="22"/>
                <w:szCs w:val="22"/>
                <w:highlight w:val="none"/>
                <w:vertAlign w:val="baseline"/>
                <w:lang w:val="en-US" w:eastAsia="zh-CN"/>
              </w:rPr>
              <w:t xml:space="preserve">冲洗：用清水将地面冲洗干净，以去除残留的清洁剂或去污剂。</w:t>
            </w:r>
            <w:r/>
          </w:p>
        </w:tc>
      </w:tr>
      <w:tr>
        <w:trPr>
          <w:trHeight w:val="454"/>
        </w:trPr>
        <w:tc>
          <w:tcPr>
            <w:tcW w:w="880" w:type="dxa"/>
            <w:vAlign w:val="center"/>
            <w:vMerge w:val="restart"/>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2</w:t>
            </w:r>
            <w:r/>
          </w:p>
        </w:tc>
        <w:tc>
          <w:tcPr>
            <w:tcW w:w="2080" w:type="dxa"/>
            <w:vAlign w:val="center"/>
            <w:vMerge w:val="restart"/>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耐磨漆地面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80" w:type="dxa"/>
            <w:vAlign w:val="center"/>
            <w:vMerge w:val="continue"/>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880" w:type="dxa"/>
            <w:vAlign w:val="center"/>
            <w:vMerge w:val="restart"/>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3</w:t>
            </w:r>
            <w:r/>
          </w:p>
        </w:tc>
        <w:tc>
          <w:tcPr>
            <w:tcW w:w="2080" w:type="dxa"/>
            <w:vAlign w:val="center"/>
            <w:vMerge w:val="restart"/>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日常清洁：</w:t>
            </w:r>
            <w:r>
              <w:rPr>
                <w:rFonts w:hint="eastAsia" w:ascii="宋体" w:hAnsi="宋体" w:eastAsia="宋体" w:cs="宋体"/>
                <w:color w:val="auto"/>
                <w:sz w:val="22"/>
                <w:szCs w:val="22"/>
                <w:highlight w:val="none"/>
                <w:lang w:val="en-US" w:eastAsia="zh-CN"/>
              </w:rPr>
              <w:t xml:space="preserve">推尘，保持地面干净无杂物。</w:t>
            </w:r>
            <w:r/>
          </w:p>
        </w:tc>
      </w:tr>
      <w:tr>
        <w:trPr>
          <w:trHeight w:val="454"/>
        </w:trPr>
        <w:tc>
          <w:tcPr>
            <w:tcW w:w="880" w:type="dxa"/>
            <w:vAlign w:val="center"/>
            <w:vMerge w:val="continue"/>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深度清洁：使用洗洁精或肥皂水清理。</w:t>
            </w:r>
            <w:r/>
          </w:p>
        </w:tc>
      </w:tr>
      <w:tr>
        <w:trPr>
          <w:trHeight w:val="454"/>
        </w:trPr>
        <w:tc>
          <w:tcPr>
            <w:tcW w:w="880" w:type="dxa"/>
            <w:vAlign w:val="center"/>
            <w:vMerge w:val="restart"/>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4</w:t>
            </w:r>
            <w:r/>
          </w:p>
        </w:tc>
        <w:tc>
          <w:tcPr>
            <w:tcW w:w="2080" w:type="dxa"/>
            <w:vAlign w:val="center"/>
            <w:vMerge w:val="restart"/>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根据各区域的人流量及大理石的实际磨损程度制定大理石的晶面保养计划。</w:t>
            </w:r>
            <w:r/>
          </w:p>
        </w:tc>
      </w:tr>
      <w:tr>
        <w:trPr>
          <w:trHeight w:val="454"/>
        </w:trPr>
        <w:tc>
          <w:tcPr>
            <w:tcW w:w="880" w:type="dxa"/>
            <w:vAlign w:val="center"/>
            <w:vMerge w:val="continue"/>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（2）启动晶面机，使用中性清洁剂清洁，避免使用强酸或强碱清洁剂，定期进行基础维护。</w:t>
            </w:r>
            <w:r/>
          </w:p>
        </w:tc>
      </w:tr>
      <w:tr>
        <w:trPr>
          <w:trHeight w:val="454"/>
        </w:trPr>
        <w:tc>
          <w:tcPr>
            <w:tcW w:w="880" w:type="dxa"/>
            <w:vAlign w:val="center"/>
            <w:vMerge w:val="restart"/>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5</w:t>
            </w:r>
            <w:r/>
          </w:p>
        </w:tc>
        <w:tc>
          <w:tcPr>
            <w:tcW w:w="2080" w:type="dxa"/>
            <w:vAlign w:val="center"/>
            <w:vMerge w:val="restart"/>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地板地面</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color w:val="auto"/>
                <w:sz w:val="22"/>
                <w:szCs w:val="22"/>
                <w:highlight w:val="none"/>
                <w:vertAlign w:val="baseline"/>
                <w:lang w:val="en-US" w:eastAsia="zh-CN"/>
              </w:rPr>
              <w:t xml:space="preserve">定期保养。使用中性清洁剂清洁，避免使用强酸或强碱清洁剂，定期进行基础维护。</w:t>
            </w:r>
            <w:r/>
          </w:p>
        </w:tc>
      </w:tr>
      <w:tr>
        <w:trPr>
          <w:trHeight w:val="454"/>
        </w:trPr>
        <w:tc>
          <w:tcPr>
            <w:tcW w:w="880" w:type="dxa"/>
            <w:vAlign w:val="center"/>
            <w:vMerge w:val="continue"/>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2080" w:type="dxa"/>
            <w:vAlign w:val="center"/>
            <w:vMerge w:val="continue"/>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r>
            <w:r/>
          </w:p>
        </w:tc>
        <w:tc>
          <w:tcPr>
            <w:tcW w:w="6430"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color w:val="auto"/>
                <w:sz w:val="22"/>
                <w:szCs w:val="22"/>
                <w:highlight w:val="none"/>
                <w:vertAlign w:val="baseline"/>
                <w:lang w:val="en-US" w:eastAsia="zh-CN"/>
              </w:rPr>
              <w:t xml:space="preserve">日常维护。使用湿润的拖把清洁，污染严重时局部清洁，每月对地板进行打蜡处理。</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6</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乳胶漆内墙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7</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墙纸内墙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8</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木饰面内墙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有污渍时用中性清洁剂、半干布擦拭。</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9</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石材内墙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10</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金属板内墙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有污渍时用半干布擦拭。</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11</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涂料外墙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12</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真石漆外墙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13</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瓷砖外墙</w:t>
            </w:r>
            <w:r/>
          </w:p>
        </w:tc>
        <w:tc>
          <w:tcPr>
            <w:tcW w:w="6430" w:type="dxa"/>
            <w:vAlign w:val="center"/>
            <w:textDirection w:val="lrTb"/>
            <w:noWrap w:val="false"/>
          </w:tcPr>
          <w:p>
            <w:pPr>
              <w:ind w:firstLine="220"/>
              <w:jc w:val="both"/>
              <w:keepLines w:val="0"/>
              <w:keepNext w:val="0"/>
              <w:pageBreakBefore w:val="0"/>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14</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保温一体板外墙</w:t>
            </w:r>
            <w:r/>
          </w:p>
        </w:tc>
        <w:tc>
          <w:tcPr>
            <w:tcW w:w="6430" w:type="dxa"/>
            <w:vAlign w:val="center"/>
            <w:textDirection w:val="lrTb"/>
            <w:noWrap w:val="false"/>
          </w:tcPr>
          <w:p>
            <w:pPr>
              <w:ind w:firstLine="220"/>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15</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铝板外墙</w:t>
            </w:r>
            <w:r/>
          </w:p>
        </w:tc>
        <w:tc>
          <w:tcPr>
            <w:tcW w:w="6430" w:type="dxa"/>
            <w:vAlign w:val="center"/>
            <w:textDirection w:val="lrTb"/>
            <w:noWrap w:val="false"/>
          </w:tcPr>
          <w:p>
            <w:pPr>
              <w:ind w:firstLine="220"/>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16</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干挂石材外墙</w:t>
            </w:r>
            <w:r/>
          </w:p>
        </w:tc>
        <w:tc>
          <w:tcPr>
            <w:tcW w:w="6430" w:type="dxa"/>
            <w:vAlign w:val="center"/>
            <w:textDirection w:val="lrTb"/>
            <w:noWrap w:val="false"/>
          </w:tcPr>
          <w:p>
            <w:pPr>
              <w:ind w:firstLine="220"/>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r>
        <w:trPr>
          <w:trHeight w:val="454"/>
        </w:trPr>
        <w:tc>
          <w:tcPr>
            <w:tcW w:w="880" w:type="dxa"/>
            <w:vAlign w:val="center"/>
            <w:textDirection w:val="lrTb"/>
            <w:noWrap w:val="false"/>
          </w:tcPr>
          <w:p>
            <w:pPr>
              <w:jc w:val="center"/>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17</w:t>
            </w:r>
            <w:r/>
          </w:p>
        </w:tc>
        <w:tc>
          <w:tcPr>
            <w:tcW w:w="2080" w:type="dxa"/>
            <w:vAlign w:val="center"/>
            <w:textDirection w:val="lrTb"/>
            <w:noWrap w:val="false"/>
          </w:tcPr>
          <w:p>
            <w:pPr>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玻璃幕墙外墙</w:t>
            </w:r>
            <w:r/>
          </w:p>
        </w:tc>
        <w:tc>
          <w:tcPr>
            <w:tcW w:w="6430" w:type="dxa"/>
            <w:vAlign w:val="center"/>
            <w:textDirection w:val="lrTb"/>
            <w:noWrap w:val="false"/>
          </w:tcPr>
          <w:p>
            <w:pPr>
              <w:ind w:firstLine="220"/>
              <w:jc w:val="both"/>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 xml:space="preserve">定期专业清洗。</w:t>
            </w:r>
            <w:r/>
          </w:p>
        </w:tc>
      </w:tr>
    </w:tbl>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pStyle w:val="756"/>
        <w:rPr>
          <w:rFonts w:hint="eastAsia" w:ascii="宋体" w:hAnsi="宋体" w:eastAsia="宋体" w:cs="宋体"/>
          <w:color w:val="auto"/>
          <w:sz w:val="22"/>
          <w:szCs w:val="21"/>
          <w:highlight w:val="none"/>
          <w:lang w:val="en-US" w:eastAsia="zh-CN"/>
        </w:rPr>
      </w:pPr>
      <w:r>
        <w:rPr>
          <w:rFonts w:hint="eastAsia" w:ascii="宋体" w:hAnsi="宋体" w:eastAsia="宋体" w:cs="宋体"/>
          <w:color w:val="auto"/>
          <w:sz w:val="22"/>
          <w:szCs w:val="21"/>
          <w:highlight w:val="none"/>
          <w:lang w:val="en-US" w:eastAsia="zh-CN"/>
        </w:rPr>
        <w:t xml:space="preserve">3.5陪检配送服务</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54"/>
        <w:gridCol w:w="6352"/>
      </w:tblGrid>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41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标本送检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医院的血液、体液、组织、空气培养等标本送检，</w:t>
            </w:r>
            <w:r/>
          </w:p>
          <w:p>
            <w:pPr>
              <w:ind w:left="0"/>
              <w:jc w:val="center"/>
              <w:keepLines w:val="0"/>
              <w:keepNext w:val="0"/>
              <w:pageBreakBefore w:val="0"/>
              <w:spacing w:line="24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病员接送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手术病人接送；门诊（重、弱、残及其他需要帮助的就诊病人）和住院病人转诊；</w:t>
            </w:r>
            <w:r/>
          </w:p>
          <w:p>
            <w:pPr>
              <w:ind w:left="0"/>
              <w:jc w:val="center"/>
              <w:keepLines w:val="0"/>
              <w:keepNext w:val="0"/>
              <w:pageBreakBefore w:val="0"/>
              <w:spacing w:line="24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病员陪检</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住院病人、门诊重病人各项检查接送与陪同；</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药品配送</w:t>
            </w:r>
            <w:r/>
          </w:p>
        </w:tc>
        <w:tc>
          <w:tcPr>
            <w:tcW w:w="6414"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住院病人常规和临时药品取送；配液中心药品取送</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物品运送</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消毒液下送、供应室消毒包送取、部分试管取送（大小便盒、痰盒、培养管等）、小型仪器维修送取、家具和设备搬运（不包含科室/部门整体搬迁及需动用机械搬迁的搬运）；</w:t>
            </w:r>
            <w:r/>
          </w:p>
          <w:p>
            <w:pPr>
              <w:ind w:left="0"/>
              <w:jc w:val="center"/>
              <w:keepLines w:val="0"/>
              <w:keepNext w:val="0"/>
              <w:pageBreakBefore w:val="0"/>
              <w:spacing w:line="24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6</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单据递送</w:t>
            </w:r>
            <w:r/>
          </w:p>
        </w:tc>
        <w:tc>
          <w:tcPr>
            <w:tcW w:w="6414"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各类检查（CT、MRI、ECT、B超、动态心电图、脑电图、胃镜等）预约；各类诊断报告（包含影像片）递送等</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7</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仓库物资供应（总务、设备、药库等）</w:t>
            </w:r>
            <w:r/>
          </w:p>
        </w:tc>
        <w:tc>
          <w:tcPr>
            <w:tcW w:w="6414"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根据各科室（病区）的工作要求，将药库（含病区药房）、总务库内物资按相关要求送至所需科室（病区）并自觉遵守仓库的各项规章制度。收取临床、医技等科室申请单，据单提供各部门物资供应；</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8</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w:t>
            </w:r>
            <w:r/>
          </w:p>
        </w:tc>
        <w:tc>
          <w:tcPr>
            <w:tcW w:w="6414"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医疗废物院内收集转运至院内暂存点</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9</w:t>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检验中心</w:t>
            </w:r>
            <w:r/>
          </w:p>
        </w:tc>
        <w:tc>
          <w:tcPr>
            <w:tcW w:w="6414"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标本接收、分拣、内部递送等；</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c>
          <w:tcPr>
            <w:tcW w:w="2175" w:type="dxa"/>
            <w:vAlign w:val="center"/>
            <w:textDirection w:val="lrTb"/>
            <w:noWrap w:val="false"/>
          </w:tcPr>
          <w:p>
            <w:pPr>
              <w:ind w:left="0"/>
              <w:jc w:val="center"/>
              <w:pageBreakBefore w:val="0"/>
              <w:spacing w:line="30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绿色通道</w:t>
            </w:r>
            <w:r/>
          </w:p>
        </w:tc>
        <w:tc>
          <w:tcPr>
            <w:tcW w:w="6414"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负责协助医护人员急救病人的搬运工作；接到急救指令后携带平车或轮椅及时到位；必须树立全心全意为人民服务的思想，在工作中要做到不怕脏、不怕累，视病人如亲人。</w:t>
            </w:r>
            <w:r/>
          </w:p>
        </w:tc>
      </w:tr>
    </w:tbl>
    <w:p>
      <w:pPr>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pStyle w:val="75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3.6医技工勤服务</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手术室工勤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掌握熟练职责范围内专业知识、职业技能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清楚岗位工作流程并能按要求完成本职工作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突发事件应急处理能力</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影像中心、B超、心脑电、内镜中心、病理科、采血中心工勤</w:t>
            </w:r>
            <w:r/>
          </w:p>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做好检查病人的</w:t>
            </w:r>
            <w:r>
              <w:rPr>
                <w:rFonts w:hint="eastAsia" w:ascii="宋体" w:hAnsi="宋体" w:eastAsia="宋体" w:cs="宋体"/>
                <w:color w:val="auto"/>
                <w:sz w:val="22"/>
                <w:szCs w:val="22"/>
                <w:highlight w:val="none"/>
                <w:lang w:val="en-US" w:eastAsia="zh-CN"/>
              </w:rPr>
              <w:t xml:space="preserve">划分</w:t>
            </w:r>
            <w:r>
              <w:rPr>
                <w:rFonts w:hint="eastAsia" w:ascii="宋体" w:hAnsi="宋体" w:eastAsia="宋体" w:cs="宋体"/>
                <w:color w:val="auto"/>
                <w:sz w:val="22"/>
                <w:szCs w:val="22"/>
                <w:highlight w:val="none"/>
              </w:rPr>
              <w:t xml:space="preserve">、登记、编号、预约等工作。协助技师发放报告单；协助技师做好检查病人的准备工作。协助技师整理机房及前一天的申请单；清洗拖鞋，打开水；协助内务查找工作；负责机房、值班室及科室范围内的卫生；服从科室随机性、指令性任务的安排；</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检验科、输血科工勤</w:t>
            </w:r>
            <w:r/>
          </w:p>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负责取血、清洗各类试管、玻片等实验室器械（含特殊实验器械的清洗，如细菌培养、微量元素分析、特种蛋白分析等器皿的清洗）；感染性废弃物的处理；病区检验报告单的递送；协助科主任做好科内各类医用耗材、试剂及办公用品的请领；科内各专业组之间各类标本的递送；机房内的保洁；送取各类消毒用品，如各类培养基等；服从科室随机性、指令性任务的安排；</w:t>
            </w:r>
            <w:r/>
          </w:p>
          <w:p>
            <w:pPr>
              <w:ind w:firstLine="442"/>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r>
            <w:r/>
          </w:p>
        </w:tc>
      </w:tr>
      <w:tr>
        <w:trPr>
          <w:trHeight w:val="3472"/>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静脉配置中心工勤</w:t>
            </w:r>
            <w:r/>
          </w:p>
        </w:tc>
        <w:tc>
          <w:tcPr>
            <w:tcW w:w="6105"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洁净舱：空气过滤器维护，辅助配置相关工作（准备注射器，开关操作台，退药处理，传送输液等），打扫卫生，洗晒洁净服；二级药库：药品外包装拆除，大输液清点、上架，打扫卫生，辅助领药、发放临床大输液，外送输液；办公区：全区域打扫，清洁消毒，药篮浸泡消毒擦拭，洗晒工作服、拖鞋，辅助发药、贴水、清点工作，外送输液，其余杂事等。</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中心供应室工勤</w:t>
            </w:r>
            <w:r/>
          </w:p>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left="0"/>
              <w:jc w:val="left"/>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预热灭菌器，灭菌器运行前安全检查，清洁装卸车和灭菌器；协助进行BD测试，合理安排当天的高温低温灭菌的器械和敷料的装载、冷却卸载，纸塑包装物品，观察并及时记录灭菌时的温度压力和时间等灭菌关键参数和设备运行情况；协助进行生物监测，检查灭菌物品的灭菌效果，检查湿包情况；下班前关闭灭菌器的水电蒸汽源开关，检查科室所有门窗水电空调关闭情况。</w:t>
            </w:r>
            <w:r/>
          </w:p>
        </w:tc>
      </w:tr>
    </w:tbl>
    <w:p>
      <w:pPr>
        <w:pStyle w:val="75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3.7</w:t>
      </w:r>
      <w:r>
        <w:rPr>
          <w:rFonts w:hint="eastAsia" w:ascii="宋体" w:hAnsi="宋体" w:eastAsia="宋体" w:cs="宋体"/>
          <w:color w:val="auto"/>
          <w:sz w:val="22"/>
          <w:szCs w:val="22"/>
          <w:highlight w:val="none"/>
        </w:rPr>
        <w:t xml:space="preserve">后勤技术</w:t>
      </w:r>
      <w:r>
        <w:rPr>
          <w:rFonts w:hint="eastAsia" w:ascii="宋体" w:hAnsi="宋体" w:eastAsia="宋体" w:cs="宋体"/>
          <w:color w:val="auto"/>
          <w:sz w:val="22"/>
          <w:szCs w:val="22"/>
          <w:highlight w:val="none"/>
          <w:lang w:val="en-US" w:eastAsia="zh-CN"/>
        </w:rPr>
        <w:t xml:space="preserve">服务</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水电维修</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全院供电、供水线路及有关电器、设备的检修、保养工作，保证医、教、研工作的正常开展。严格执行电工、水工操作规程，认真做好全院电器设备及线路、水路等的维修、保养工作，确保工作质量。服务临床一线，主动上门维修保养，并做好检修登记，由被检修部门负责同志签字验收。宣传安全用电、用电和节约能源知识，做好修旧利废，节约材料，物尽其用，杜绝滥用材料现象。切实加强业务学习，提高服务工作技能，配合医院不断开展技术的研究和利用。认真做好交接班，当班解决不了的问题应详细按照规章制度交给下一班。完成院方安排的随机性，指令性任务。</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w:t>
            </w:r>
            <w:r/>
          </w:p>
        </w:tc>
        <w:tc>
          <w:tcPr>
            <w:tcW w:w="2484" w:type="dxa"/>
            <w:vAlign w:val="center"/>
            <w:vMerge w:val="restart"/>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消毒服务</w:t>
            </w:r>
            <w:r/>
          </w:p>
        </w:tc>
        <w:tc>
          <w:tcPr>
            <w:tcW w:w="6105"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内镜中心消毒员：负责胃镜、肠镜、手术器械、手术包等物品消毒</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p>
        </w:tc>
        <w:tc>
          <w:tcPr>
            <w:tcW w:w="2484" w:type="dxa"/>
            <w:vAlign w:val="center"/>
            <w:vMerge w:val="continue"/>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检验科消毒员：负责每天的检验标本的高压灭菌及时解决高压灭菌过程中出现的故障，完成医疗废弃物收集并做好相关记录；对疑似标本密封装箱并收入冰箱并做好相关记录。</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4</w:t>
            </w:r>
            <w:r/>
          </w:p>
        </w:tc>
        <w:tc>
          <w:tcPr>
            <w:tcW w:w="2484"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心供应室消毒员：预热灭菌器，灭菌器运行前安全检查，清洁装卸车和灭菌器，做BD测试，合理安排当天的高温低温灭菌的器械和敷料的装载、冷却卸载，纸塑包装物品，观察并及时记录灭菌时的温度压力和时间等灭菌关键参数和设备运行情况，做生物监测，检查灭菌物品的灭菌效果，检查湿包情况，下班前关闭灭菌器的水电蒸汽源开关，检查科室所有门窗水电空调关闭情况。完成院方安排的随机性，指令性任务。</w:t>
            </w:r>
            <w:r/>
          </w:p>
          <w:p>
            <w:pPr>
              <w:ind w:firstLine="440"/>
              <w:jc w:val="both"/>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各科室消毒员经培训合格，并取得相应培训证书后方可上岗。</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5</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接收</w:t>
            </w:r>
            <w:r>
              <w:rPr>
                <w:rFonts w:hint="eastAsia" w:ascii="宋体" w:hAnsi="宋体" w:eastAsia="宋体" w:cs="宋体"/>
                <w:b/>
                <w:bCs/>
                <w:color w:val="auto"/>
                <w:sz w:val="22"/>
                <w:szCs w:val="22"/>
                <w:highlight w:val="none"/>
              </w:rPr>
              <w:t xml:space="preserve">医用气钢瓶</w:t>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接收液氧；负责给病区运送气体钢瓶；每日巡查液氧站，空压机房，钢瓶存储间等重要地点；负责病区生命带气体终端的维修维护；负责病区加床的运输；负责病区病床的简易维修；要求7*24小时排班。完成院方安排的随机性，指令性任务。</w:t>
            </w:r>
            <w:r/>
          </w:p>
        </w:tc>
      </w:tr>
    </w:tbl>
    <w:p>
      <w:pPr>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5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3.8导医服务</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firstLine="440"/>
              <w:keepLines w:val="0"/>
              <w:keepNext w:val="0"/>
              <w:pageBreakBefore w:val="0"/>
              <w:spacing w:line="5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导医</w:t>
            </w:r>
            <w:r>
              <w:rPr>
                <w:rFonts w:hint="eastAsia" w:ascii="宋体" w:hAnsi="宋体" w:eastAsia="宋体" w:cs="宋体"/>
                <w:color w:val="auto"/>
                <w:sz w:val="22"/>
                <w:szCs w:val="22"/>
                <w:highlight w:val="none"/>
                <w:lang w:val="en-US" w:eastAsia="zh-CN"/>
              </w:rPr>
              <w:t xml:space="preserve">服务</w:t>
            </w:r>
            <w:r/>
          </w:p>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105" w:type="dxa"/>
            <w:vAlign w:val="center"/>
            <w:textDirection w:val="lrTb"/>
            <w:noWrap w:val="false"/>
          </w:tcPr>
          <w:p>
            <w:pPr>
              <w:ind w:firstLine="440"/>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要求</w:t>
            </w:r>
            <w:r>
              <w:rPr>
                <w:rFonts w:hint="eastAsia" w:ascii="宋体" w:hAnsi="宋体" w:eastAsia="宋体" w:cs="宋体"/>
                <w:color w:val="auto"/>
                <w:sz w:val="22"/>
                <w:szCs w:val="22"/>
                <w:highlight w:val="none"/>
                <w:lang w:val="en-US" w:eastAsia="zh-CN"/>
              </w:rPr>
              <w:t xml:space="preserve">导医服务人员</w:t>
            </w:r>
            <w:r>
              <w:rPr>
                <w:rFonts w:hint="eastAsia" w:ascii="宋体" w:hAnsi="宋体" w:eastAsia="宋体" w:cs="宋体"/>
                <w:color w:val="auto"/>
                <w:sz w:val="22"/>
                <w:szCs w:val="22"/>
                <w:highlight w:val="none"/>
              </w:rPr>
              <w:t xml:space="preserve">身材高挑、相貌端庄、基本熟悉医疗救助知识，人员形象须经</w:t>
            </w: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可后方可招录使用；做好各科患者的指导就诊工作，对患者热情招待，耐心解释，提供帮助；对危重患者应立即护送其去急诊室或病房，并马上报告医师进行抢救；引导病人使用自助预约挂号、缴费，有效分流疏散病员；主动询问病员病情，解答患者提出的各种疑问，征询与收集患者对医院的意见。并及时上报，积极向患者宣传卫生常识，协助做好门诊的候诊秩序和保持环境清洁。</w:t>
            </w:r>
            <w:r/>
          </w:p>
        </w:tc>
      </w:tr>
    </w:tbl>
    <w:p>
      <w:pPr>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75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3.9电梯运行服务</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1</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lang w:val="en-US" w:eastAsia="zh-CN"/>
              </w:rPr>
              <w:t xml:space="preserve">电梯运行服务</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负责电梯的运行，在正常上班时间做好导乘服务，协助病区做好病员的运送工作，掌握电梯运营中发生问题的应急处理和逃生技能。做好电梯安全使用的宣教工作，制止各种不文明的乘梯行为。开梯前要仔细检查电梯各项设备是否运行正常，每班认真填写电梯的运行记录。</w:t>
            </w:r>
            <w:r/>
          </w:p>
        </w:tc>
      </w:tr>
    </w:tbl>
    <w:p>
      <w:pPr>
        <w:rPr>
          <w:rFonts w:hint="eastAsia" w:ascii="宋体" w:hAnsi="宋体" w:eastAsia="宋体" w:cs="宋体"/>
          <w:color w:val="auto"/>
          <w:sz w:val="22"/>
          <w:szCs w:val="22"/>
          <w:highlight w:val="none"/>
          <w:u w:val="none"/>
          <w:lang w:val="en-US" w:eastAsia="zh-CN"/>
        </w:rPr>
        <w:outlineLvl w:val="9"/>
      </w:pPr>
      <w:r/>
      <w:bookmarkStart w:id="10" w:name="_Toc27983"/>
      <w:r/>
      <w:bookmarkStart w:id="11" w:name="_Toc26417"/>
      <w:r/>
      <w:bookmarkStart w:id="12" w:name="_Toc12052"/>
      <w:r/>
      <w:r/>
    </w:p>
    <w:p>
      <w:pPr>
        <w:pStyle w:val="755"/>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3.10应急保障要求</w:t>
      </w:r>
      <w:r/>
    </w:p>
    <w:tbl>
      <w:tblPr>
        <w:tblStyle w:val="782"/>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460"/>
        <w:gridCol w:w="6046"/>
      </w:tblGrid>
      <w:tr>
        <w:trPr>
          <w:trHeight w:val="454"/>
        </w:trPr>
        <w:tc>
          <w:tcPr>
            <w:tcW w:w="80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248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10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基本内容</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中标供应商需成立应急工作小组，明确组长（项目经理）、副组长（主管）及成员职责，确保应急事件发生时“15分钟内小组到位、30分钟内现场处置”。同时，每栋楼宇需指定2名应急联络员（如楼层保洁员），负责第一时间上报异常情况（如发现火情、设备故障）。</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（2）每年至少组织2次综合应急演练和4次专项应急演练，演练后及时进行总结，不断完善应急预案。</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停电预案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停水预案</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tc>
      </w:tr>
      <w:tr>
        <w:trPr>
          <w:trHeight w:val="454"/>
        </w:trPr>
        <w:tc>
          <w:tcPr>
            <w:tcW w:w="80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w:t>
            </w:r>
            <w:r/>
          </w:p>
        </w:tc>
        <w:tc>
          <w:tcPr>
            <w:tcW w:w="248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公共卫生与</w:t>
            </w:r>
            <w:r/>
          </w:p>
          <w:p>
            <w:pPr>
              <w:jc w:val="center"/>
              <w:keepLines w:val="0"/>
              <w:keepNext w:val="0"/>
              <w:pageBreakBefore w:val="0"/>
              <w:spacing w:line="500" w:lineRule="exact"/>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环境事件处理</w:t>
            </w:r>
            <w:r/>
          </w:p>
        </w:tc>
        <w:tc>
          <w:tcPr>
            <w:tcW w:w="6105"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医疗废物管理：对感染性废物（如防护服、口罩）实行“双层包装 + 单独标识”，由专人专车转运，避免与其他废物混放，暂存点每日消毒2次（紫外线照射60分钟）。</w:t>
            </w:r>
            <w:r/>
          </w:p>
        </w:tc>
      </w:tr>
    </w:tbl>
    <w:p>
      <w:pPr>
        <w:rPr>
          <w:rFonts w:hint="eastAsia" w:ascii="宋体" w:hAnsi="宋体" w:eastAsia="宋体" w:cs="宋体"/>
          <w:color w:val="auto"/>
          <w:sz w:val="22"/>
          <w:szCs w:val="22"/>
          <w:highlight w:val="none"/>
          <w:u w:val="none"/>
          <w:lang w:val="en-US" w:eastAsia="zh-CN"/>
        </w:rPr>
        <w:outlineLvl w:val="9"/>
      </w:pPr>
      <w:r>
        <w:rPr>
          <w:rFonts w:hint="eastAsia" w:ascii="宋体" w:hAnsi="宋体" w:eastAsia="宋体" w:cs="宋体"/>
          <w:color w:val="auto"/>
          <w:sz w:val="22"/>
          <w:szCs w:val="22"/>
          <w:highlight w:val="none"/>
          <w:u w:val="none"/>
          <w:lang w:val="en-US" w:eastAsia="zh-CN"/>
        </w:rPr>
      </w:r>
      <w:r/>
    </w:p>
    <w:p>
      <w:pPr>
        <w:pStyle w:val="755"/>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4.供应商履行合同所需的设备、工具及耗材</w:t>
      </w:r>
      <w:r/>
    </w:p>
    <w:p>
      <w:pPr>
        <w:ind w:firstLine="440"/>
        <w:keepLines w:val="0"/>
        <w:keepNext w:val="0"/>
        <w:pageBreakBefore w:val="0"/>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需要供应商提供作业设备、工具</w:t>
      </w:r>
      <w:r>
        <w:rPr>
          <w:rFonts w:hint="eastAsia" w:ascii="宋体" w:hAnsi="宋体" w:eastAsia="宋体" w:cs="宋体"/>
          <w:b w:val="0"/>
          <w:bCs w:val="0"/>
          <w:color w:val="auto"/>
          <w:sz w:val="22"/>
          <w:szCs w:val="22"/>
          <w:highlight w:val="none"/>
          <w:lang w:val="en-US" w:eastAsia="zh-CN"/>
        </w:rPr>
        <w:t xml:space="preserve">（自有或租赁）及耗材</w:t>
      </w:r>
      <w:r>
        <w:rPr>
          <w:rFonts w:hint="eastAsia" w:ascii="宋体" w:hAnsi="宋体" w:eastAsia="宋体" w:cs="宋体"/>
          <w:color w:val="auto"/>
          <w:sz w:val="22"/>
          <w:szCs w:val="22"/>
          <w:highlight w:val="none"/>
          <w:lang w:val="en-US" w:eastAsia="zh-CN"/>
        </w:rPr>
        <w:t xml:space="preserve">用于物业管理服务，具有清单如下：</w:t>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77"/>
        <w:gridCol w:w="2973"/>
        <w:gridCol w:w="1431"/>
        <w:gridCol w:w="3324"/>
      </w:tblGrid>
      <w:tr>
        <w:trPr>
          <w:jc w:val="center"/>
          <w:trHeight w:val="477"/>
        </w:trPr>
        <w:tc>
          <w:tcPr>
            <w:tcW w:w="1077" w:type="dxa"/>
            <w:vAlign w:val="center"/>
            <w:textDirection w:val="tbRlV"/>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9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设备名称</w:t>
            </w:r>
            <w:r/>
          </w:p>
        </w:tc>
        <w:tc>
          <w:tcPr>
            <w:tcW w:w="143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数量</w:t>
            </w:r>
            <w:r/>
          </w:p>
        </w:tc>
        <w:tc>
          <w:tcPr>
            <w:tcW w:w="332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用途</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驾驶式洗扫一体机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 xml:space="preserve">1台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室外路面广场清洁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驾驶式全自动洗地机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highlight w:val="none"/>
              </w:rPr>
            </w:pPr>
            <w:r>
              <w:rPr>
                <w:rFonts w:hint="eastAsia" w:ascii="宋体" w:hAnsi="宋体" w:eastAsia="宋体" w:cs="宋体"/>
                <w:color w:val="auto"/>
                <w:spacing w:val="2"/>
                <w:highlight w:val="none"/>
                <w:lang w:val="en-US" w:eastAsia="zh-CN"/>
              </w:rPr>
              <w:t xml:space="preserve">2</w:t>
            </w:r>
            <w:r>
              <w:rPr>
                <w:rFonts w:hint="eastAsia" w:ascii="宋体" w:hAnsi="宋体" w:eastAsia="宋体" w:cs="宋体"/>
                <w:color w:val="auto"/>
                <w:spacing w:val="2"/>
                <w:highlight w:val="none"/>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大厅走廊地面清洁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手推式全自动洗地机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病区走廊地面清洁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高速抛光机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PVC蜡面抛光养护</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石材处理机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石材翻新抛光保养</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加重单擦机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3台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清洗地面PVC起蜡</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7</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三速吹风机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4台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地面地毯快速吹干</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8</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吸水吸尘机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5台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吸水吸尘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高压水枪</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2台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道路地面外墙清洗</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10</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清洁手推车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60辆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保洁员清洁作业车</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0"/>
                <w:highlight w:val="none"/>
              </w:rPr>
              <w:t xml:space="preserve">11</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肩背式吸尘机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0"/>
                <w:highlight w:val="none"/>
              </w:rPr>
              <w:t xml:space="preserve">物表、地面除尘</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12</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垃圾运送车</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5</w:t>
            </w:r>
            <w:r>
              <w:rPr>
                <w:rFonts w:hint="eastAsia" w:ascii="宋体" w:hAnsi="宋体" w:eastAsia="宋体" w:cs="宋体"/>
                <w:color w:val="auto"/>
                <w:spacing w:val="3"/>
                <w:highlight w:val="none"/>
              </w:rPr>
              <w:t xml:space="preserve">辆</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13</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斗车盖</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pacing w:val="4"/>
                <w:highlight w:val="none"/>
              </w:rPr>
              <w:t xml:space="preserve">5</w:t>
            </w:r>
            <w:r>
              <w:rPr>
                <w:rFonts w:hint="eastAsia" w:ascii="宋体" w:hAnsi="宋体" w:cs="宋体"/>
                <w:color w:val="auto"/>
                <w:spacing w:val="4"/>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生活医疗垃圾运送</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14</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15</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清洁车储物箱</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pacing w:val="5"/>
                <w:highlight w:val="none"/>
              </w:rPr>
              <w:t xml:space="preserve">60</w:t>
            </w:r>
            <w:r>
              <w:rPr>
                <w:rFonts w:hint="eastAsia" w:ascii="宋体" w:hAnsi="宋体" w:cs="宋体"/>
                <w:color w:val="auto"/>
                <w:spacing w:val="5"/>
                <w:highlight w:val="none"/>
                <w:lang w:val="en-US" w:eastAsia="zh-CN"/>
              </w:rPr>
              <w:t xml:space="preserve">个</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工具整理箱</w:t>
            </w:r>
            <w:r/>
          </w:p>
        </w:tc>
      </w:tr>
      <w:tr>
        <w:trPr>
          <w:jc w:val="center"/>
          <w:trHeight w:val="420"/>
        </w:trPr>
        <w:tc>
          <w:tcPr>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5"/>
                <w:highlight w:val="none"/>
              </w:rPr>
              <w:t xml:space="preserve">16</w:t>
            </w:r>
            <w:r/>
          </w:p>
        </w:tc>
        <w:tc>
          <w:tcPr>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手提抛光机</w:t>
            </w:r>
            <w:r/>
          </w:p>
        </w:tc>
        <w:tc>
          <w:tcPr>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台</w:t>
            </w:r>
            <w:r/>
          </w:p>
        </w:tc>
        <w:tc>
          <w:tcPr>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0"/>
                <w:highlight w:val="none"/>
              </w:rPr>
              <w:t xml:space="preserve">抛光、打蜡</w:t>
            </w:r>
            <w:r/>
          </w:p>
        </w:tc>
      </w:tr>
      <w:tr>
        <w:trPr>
          <w:jc w:val="center"/>
          <w:trHeight w:val="420"/>
        </w:trPr>
        <w:tc>
          <w:tcPr>
            <w:tcBorders>
              <w:bottom w:val="single" w:color="auto" w:sz="4" w:space="0"/>
            </w:tcBorders>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17</w:t>
            </w:r>
            <w:r/>
          </w:p>
        </w:tc>
        <w:tc>
          <w:tcPr>
            <w:tcBorders>
              <w:bottom w:val="single" w:color="auto" w:sz="4" w:space="0"/>
            </w:tcBorders>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电动尘推车</w:t>
            </w:r>
            <w:r/>
          </w:p>
        </w:tc>
        <w:tc>
          <w:tcPr>
            <w:tcBorders>
              <w:bottom w:val="single" w:color="auto" w:sz="4" w:space="0"/>
            </w:tcBorders>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pacing w:val="5"/>
                <w:highlight w:val="none"/>
              </w:rPr>
              <w:t xml:space="preserve">2</w:t>
            </w:r>
            <w:r>
              <w:rPr>
                <w:rFonts w:hint="eastAsia" w:ascii="宋体" w:hAnsi="宋体" w:cs="宋体"/>
                <w:color w:val="auto"/>
                <w:spacing w:val="5"/>
                <w:highlight w:val="none"/>
                <w:lang w:val="en-US" w:eastAsia="zh-CN"/>
              </w:rPr>
              <w:t xml:space="preserve">台</w:t>
            </w:r>
            <w:r/>
          </w:p>
        </w:tc>
        <w:tc>
          <w:tcPr>
            <w:tcBorders>
              <w:bottom w:val="single" w:color="auto" w:sz="4" w:space="0"/>
            </w:tcBorders>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推尘</w:t>
            </w:r>
            <w:r/>
          </w:p>
        </w:tc>
      </w:tr>
      <w:tr>
        <w:trPr>
          <w:jc w:val="center"/>
          <w:trHeight w:val="660"/>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18</w:t>
            </w:r>
            <w:r/>
          </w:p>
        </w:tc>
        <w:tc>
          <w:tcPr>
            <w:tcBorders>
              <w:top w:val="single" w:color="auto" w:sz="4" w:space="0"/>
              <w:left w:val="single" w:color="auto" w:sz="4" w:space="0"/>
              <w:bottom w:val="single" w:color="auto" w:sz="4" w:space="0"/>
              <w:right w:val="single" w:color="auto" w:sz="4" w:space="0"/>
            </w:tcBorders>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管道疏通机</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spacing w:val="5"/>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疏通下水道</w:t>
            </w:r>
            <w:r/>
          </w:p>
        </w:tc>
      </w:tr>
      <w:tr>
        <w:trPr>
          <w:jc w:val="center"/>
          <w:trHeight w:val="820"/>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19</w:t>
            </w:r>
            <w:r/>
          </w:p>
        </w:tc>
        <w:tc>
          <w:tcPr>
            <w:tcBorders>
              <w:top w:val="single" w:color="auto" w:sz="4" w:space="0"/>
              <w:left w:val="single" w:color="auto" w:sz="4" w:space="0"/>
              <w:bottom w:val="single" w:color="auto" w:sz="4" w:space="0"/>
              <w:right w:val="single" w:color="auto" w:sz="4" w:space="0"/>
            </w:tcBorders>
            <w:tcW w:w="29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医疗废物自动信息回收转运车</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cs="宋体"/>
                <w:color w:val="auto"/>
                <w:spacing w:val="5"/>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医废回收</w:t>
            </w:r>
            <w:r/>
          </w:p>
        </w:tc>
      </w:tr>
    </w:tbl>
    <w:p>
      <w:pPr>
        <w:pStyle w:val="755"/>
        <w:numPr>
          <w:ilvl w:val="0"/>
          <w:numId w:val="0"/>
        </w:numPr>
        <w:rPr>
          <w:rFonts w:hint="eastAsia" w:ascii="宋体" w:hAnsi="宋体" w:cs="宋体"/>
          <w:color w:val="auto"/>
          <w:sz w:val="22"/>
          <w:szCs w:val="36"/>
          <w:highlight w:val="none"/>
          <w:lang w:val="en-US" w:eastAsia="zh-CN"/>
        </w:rPr>
      </w:pPr>
      <w:r>
        <w:rPr>
          <w:rFonts w:hint="eastAsia" w:ascii="宋体" w:hAnsi="宋体" w:cs="宋体"/>
          <w:color w:val="auto"/>
          <w:sz w:val="22"/>
          <w:szCs w:val="36"/>
          <w:highlight w:val="none"/>
          <w:lang w:val="en-US" w:eastAsia="zh-CN"/>
        </w:rPr>
      </w:r>
      <w:r/>
    </w:p>
    <w:p>
      <w:pPr>
        <w:pStyle w:val="755"/>
        <w:numPr>
          <w:ilvl w:val="0"/>
          <w:numId w:val="0"/>
        </w:numPr>
        <w:ind w:firstLine="442"/>
        <w:rPr>
          <w:rFonts w:hint="eastAsia" w:ascii="宋体" w:hAnsi="宋体" w:eastAsia="宋体" w:cs="宋体"/>
          <w:color w:val="auto"/>
          <w:sz w:val="22"/>
          <w:szCs w:val="36"/>
          <w:highlight w:val="none"/>
        </w:rPr>
      </w:pPr>
      <w:r>
        <w:rPr>
          <w:rFonts w:hint="eastAsia" w:ascii="宋体" w:hAnsi="宋体" w:cs="宋体"/>
          <w:color w:val="auto"/>
          <w:sz w:val="22"/>
          <w:szCs w:val="36"/>
          <w:highlight w:val="none"/>
          <w:lang w:val="en-US" w:eastAsia="zh-CN"/>
        </w:rPr>
        <w:t xml:space="preserve">5.</w:t>
      </w:r>
      <w:r>
        <w:rPr>
          <w:rFonts w:hint="eastAsia" w:ascii="宋体" w:hAnsi="宋体" w:eastAsia="宋体" w:cs="宋体"/>
          <w:color w:val="auto"/>
          <w:sz w:val="22"/>
          <w:szCs w:val="36"/>
          <w:highlight w:val="none"/>
        </w:rPr>
        <w:t xml:space="preserve">物业管理服务人员需求</w:t>
      </w:r>
      <w:r/>
    </w:p>
    <w:tbl>
      <w:tblPr>
        <w:tblStyle w:val="758"/>
        <w:tblpPr w:horzAnchor="page" w:tblpX="1930" w:vertAnchor="text" w:tblpY="506" w:leftFromText="180" w:topFromText="0" w:rightFromText="180" w:bottomFromText="0"/>
        <w:tblW w:w="457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980"/>
        <w:gridCol w:w="1590"/>
        <w:gridCol w:w="2130"/>
        <w:gridCol w:w="1485"/>
        <w:gridCol w:w="1335"/>
      </w:tblGrid>
      <w:tr>
        <w:trPr>
          <w:trHeight w:val="397"/>
        </w:trPr>
        <w:tc>
          <w:tcPr>
            <w:shd w:val="clear" w:color="auto" w:fill="ffffff"/>
            <w:tcBorders>
              <w:bottom w:val="single" w:color="000000" w:sz="4" w:space="0"/>
              <w:right w:val="single" w:color="000000" w:sz="4" w:space="0"/>
            </w:tcBorders>
            <w:tcW w:w="1161" w:type="pct"/>
            <w:vAlign w:val="center"/>
            <w:textDirection w:val="lrTb"/>
            <w:noWrap/>
          </w:tcPr>
          <w:p>
            <w:pPr>
              <w:ind w:firstLine="880"/>
              <w:jc w:val="both"/>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序号</w:t>
            </w:r>
            <w:r/>
          </w:p>
        </w:tc>
        <w:tc>
          <w:tcPr>
            <w:shd w:val="clear" w:color="auto" w:fill="ffffff"/>
            <w:tcBorders>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部门</w:t>
            </w:r>
            <w:r/>
          </w:p>
        </w:tc>
        <w:tc>
          <w:tcPr>
            <w:shd w:val="clear" w:color="auto" w:fill="ffffff"/>
            <w:tcBorders>
              <w:left w:val="single" w:color="000000" w:sz="4" w:space="0"/>
              <w:bottom w:val="single" w:color="000000" w:sz="4" w:space="0"/>
              <w:right w:val="single" w:color="000000" w:sz="4" w:space="0"/>
            </w:tcBorders>
            <w:tcW w:w="1250"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岗位</w:t>
            </w:r>
            <w:r/>
          </w:p>
        </w:tc>
        <w:tc>
          <w:tcPr>
            <w:shd w:val="clear" w:color="auto" w:fill="ffffff"/>
            <w:tcBorders>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人数</w:t>
            </w:r>
            <w:r/>
          </w:p>
        </w:tc>
        <w:tc>
          <w:tcPr>
            <w:shd w:val="clear" w:color="auto" w:fill="ffffff"/>
            <w:tcBorders>
              <w:left w:val="single" w:color="000000" w:sz="4" w:space="0"/>
              <w:bottom w:val="single" w:color="000000" w:sz="4" w:space="0"/>
            </w:tcBorders>
            <w:tcW w:w="783"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备注</w:t>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ind w:firstLine="880"/>
              <w:jc w:val="both"/>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物业服务中心</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ind w:firstLine="880"/>
              <w:jc w:val="both"/>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主管</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ind w:firstLine="880"/>
              <w:jc w:val="both"/>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区域组长</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医技科室</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录字员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收费员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导医</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窗口登记</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供应室</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手术室</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静脉配置中心</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病案室</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消毒员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配送</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总务科仓库</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设备科仓库</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中心药房</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门急诊药房</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陪检</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住院部药房</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绿色通道</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陪检</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收成标</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夜班</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大夜班</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工程组</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水电班</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氧气班</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搬运组</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门急诊保洁，公区</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66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住院部保洁，裙楼，公区</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val="false"/>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生活垃圾</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医疗垃圾</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外围</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0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助理员</w:t>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护理助理员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420"/>
        </w:trPr>
        <w:tc>
          <w:tcPr>
            <w:shd w:val="clear" w:color="auto" w:fill="ffffff"/>
            <w:tcBorders>
              <w:top w:val="single" w:color="000000" w:sz="4" w:space="0"/>
              <w:bottom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50" w:type="pct"/>
            <w:vAlign w:val="center"/>
            <w:textDirection w:val="lrTb"/>
            <w:noWrap/>
          </w:tcPr>
          <w:p>
            <w:pPr>
              <w:jc w:val="left"/>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药剂助理员</w:t>
            </w:r>
            <w:r/>
          </w:p>
        </w:tc>
        <w:tc>
          <w:tcPr>
            <w:shd w:val="clear" w:color="auto" w:fill="ffffff"/>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i w:val="0"/>
                <w:iCs w:val="0"/>
                <w:color w:val="auto"/>
                <w:sz w:val="22"/>
                <w:szCs w:val="22"/>
                <w:highlight w:val="none"/>
                <w:u w:val="none"/>
              </w:rPr>
              <w:suppressLineNumbers w:val="0"/>
            </w:pPr>
            <w:r>
              <w:rPr>
                <w:rFonts w:hint="eastAsia" w:ascii="宋体" w:hAnsi="宋体" w:eastAsia="宋体" w:cs="宋体"/>
                <w:b w:val="0"/>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tcBorders>
            <w:tcW w:w="783" w:type="pct"/>
            <w:vAlign w:val="center"/>
            <w:textDirection w:val="lrTb"/>
            <w:noWrap/>
          </w:tcPr>
          <w:p>
            <w:pPr>
              <w:rPr>
                <w:rFonts w:hint="eastAsia" w:ascii="宋体" w:hAnsi="宋体" w:eastAsia="宋体" w:cs="宋体"/>
                <w:b w:val="0"/>
                <w:i w:val="0"/>
                <w:iCs w:val="0"/>
                <w:color w:val="auto"/>
                <w:sz w:val="22"/>
                <w:szCs w:val="22"/>
                <w:highlight w:val="none"/>
                <w:u w:val="none"/>
              </w:rPr>
            </w:pPr>
            <w:r>
              <w:rPr>
                <w:rFonts w:hint="eastAsia" w:ascii="宋体" w:hAnsi="宋体" w:eastAsia="宋体" w:cs="宋体"/>
                <w:b w:val="0"/>
                <w:i w:val="0"/>
                <w:iCs w:val="0"/>
                <w:color w:val="auto"/>
                <w:sz w:val="22"/>
                <w:szCs w:val="22"/>
                <w:highlight w:val="none"/>
                <w:u w:val="none"/>
              </w:rPr>
            </w:r>
            <w:r/>
          </w:p>
        </w:tc>
      </w:tr>
      <w:tr>
        <w:trPr>
          <w:trHeight w:val="500"/>
        </w:trPr>
        <w:tc>
          <w:tcPr>
            <w:shd w:val="clear" w:color="auto" w:fill="ffffff"/>
            <w:tcBorders>
              <w:top w:val="single" w:color="000000" w:sz="4" w:space="0"/>
              <w:right w:val="single" w:color="000000" w:sz="4" w:space="0"/>
            </w:tcBorders>
            <w:tcW w:w="1161"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33</w:t>
            </w:r>
            <w:r/>
          </w:p>
        </w:tc>
        <w:tc>
          <w:tcPr>
            <w:shd w:val="clear" w:color="auto" w:fill="ffffff"/>
            <w:tcBorders>
              <w:top w:val="single" w:color="000000" w:sz="4" w:space="0"/>
              <w:left w:val="single" w:color="000000" w:sz="4" w:space="0"/>
              <w:right w:val="single" w:color="000000" w:sz="4" w:space="0"/>
            </w:tcBorders>
            <w:tcW w:w="933"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合计人数</w:t>
            </w:r>
            <w:r/>
          </w:p>
        </w:tc>
        <w:tc>
          <w:tcPr>
            <w:shd w:val="clear" w:color="auto" w:fill="ffffff"/>
            <w:tcBorders>
              <w:top w:val="single" w:color="000000" w:sz="4" w:space="0"/>
              <w:left w:val="single" w:color="000000" w:sz="4" w:space="0"/>
              <w:right w:val="single" w:color="000000" w:sz="4" w:space="0"/>
            </w:tcBorders>
            <w:tcW w:w="1250" w:type="pct"/>
            <w:vAlign w:val="center"/>
            <w:textDirection w:val="lrTb"/>
            <w:noWrap/>
          </w:tcPr>
          <w:p>
            <w:pPr>
              <w:jc w:val="center"/>
              <w:rPr>
                <w:rFonts w:hint="eastAsia" w:ascii="宋体" w:hAnsi="宋体" w:eastAsia="宋体" w:cs="宋体"/>
                <w:b w:val="0"/>
                <w:bCs/>
                <w:i w:val="0"/>
                <w:iCs w:val="0"/>
                <w:color w:val="auto"/>
                <w:sz w:val="22"/>
                <w:szCs w:val="22"/>
                <w:highlight w:val="none"/>
                <w:u w:val="none"/>
              </w:rPr>
            </w:pPr>
            <w:r>
              <w:rPr>
                <w:rFonts w:hint="eastAsia" w:ascii="宋体" w:hAnsi="宋体" w:eastAsia="宋体" w:cs="宋体"/>
                <w:b w:val="0"/>
                <w:bCs/>
                <w:i w:val="0"/>
                <w:iCs w:val="0"/>
                <w:color w:val="auto"/>
                <w:sz w:val="22"/>
                <w:szCs w:val="22"/>
                <w:highlight w:val="none"/>
                <w:u w:val="none"/>
              </w:rPr>
            </w:r>
            <w:r/>
          </w:p>
        </w:tc>
        <w:tc>
          <w:tcPr>
            <w:shd w:val="clear" w:color="auto" w:fill="ffffff"/>
            <w:tcBorders>
              <w:top w:val="single" w:color="000000" w:sz="4" w:space="0"/>
              <w:left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315</w:t>
            </w:r>
            <w:r/>
          </w:p>
        </w:tc>
        <w:tc>
          <w:tcPr>
            <w:shd w:val="clear" w:color="auto" w:fill="ffffff"/>
            <w:tcBorders>
              <w:top w:val="single" w:color="000000" w:sz="4" w:space="0"/>
              <w:left w:val="single" w:color="000000" w:sz="4" w:space="0"/>
            </w:tcBorders>
            <w:tcW w:w="783" w:type="pct"/>
            <w:vAlign w:val="center"/>
            <w:textDirection w:val="lrTb"/>
            <w:noWrap/>
          </w:tcPr>
          <w:p>
            <w:pPr>
              <w:jc w:val="left"/>
              <w:keepLines w:val="0"/>
              <w:keepNext w:val="0"/>
              <w:widowControl/>
              <w:rPr>
                <w:rFonts w:hint="eastAsia" w:ascii="宋体" w:hAnsi="宋体" w:eastAsia="宋体" w:cs="宋体"/>
                <w:b w:val="0"/>
                <w:bCs/>
                <w:i w:val="0"/>
                <w:iCs w:val="0"/>
                <w:color w:val="auto"/>
                <w:sz w:val="22"/>
                <w:szCs w:val="22"/>
                <w:highlight w:val="none"/>
                <w:u w:val="none"/>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特殊岗位津贴45人</w:t>
            </w:r>
            <w:r/>
          </w:p>
        </w:tc>
      </w:tr>
    </w:tbl>
    <w:p>
      <w:pPr>
        <w:numPr>
          <w:ilvl w:val="0"/>
          <w:numId w:val="0"/>
        </w:num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firstLine="440"/>
        <w:jc w:val="left"/>
        <w:keepLines w:val="0"/>
        <w:keepNext w:val="0"/>
        <w:pageBreakBefore w:val="0"/>
        <w:spacing w:line="300" w:lineRule="auto"/>
        <w:widowControl/>
        <w:rPr>
          <w:rFonts w:hint="eastAsia" w:ascii="宋体" w:hAnsi="宋体" w:eastAsia="宋体" w:cs="宋体"/>
          <w:b w:val="0"/>
          <w:bCs/>
          <w:color w:val="auto"/>
          <w:sz w:val="22"/>
          <w:szCs w:val="22"/>
          <w:highlight w:val="none"/>
          <w:u w:val="none"/>
        </w:rPr>
      </w:pPr>
      <w:r>
        <w:rPr>
          <w:rFonts w:hint="eastAsia" w:ascii="宋体" w:hAnsi="宋体" w:eastAsia="宋体" w:cs="宋体"/>
          <w:color w:val="auto"/>
          <w:sz w:val="22"/>
          <w:szCs w:val="22"/>
          <w:highlight w:val="none"/>
          <w:u w:val="none"/>
          <w:lang w:val="en-US" w:eastAsia="zh-CN"/>
        </w:rPr>
        <w:t xml:space="preserve">注：</w:t>
      </w:r>
      <w:r>
        <w:rPr>
          <w:rFonts w:hint="eastAsia" w:ascii="宋体" w:hAnsi="宋体" w:eastAsia="宋体" w:cs="宋体"/>
          <w:b w:val="0"/>
          <w:bCs/>
          <w:color w:val="auto"/>
          <w:sz w:val="22"/>
          <w:szCs w:val="22"/>
          <w:highlight w:val="none"/>
          <w:u w:val="none"/>
          <w:lang w:val="en-US" w:eastAsia="zh-CN"/>
        </w:rPr>
        <w:t xml:space="preserve">供应商</w:t>
      </w:r>
      <w:r>
        <w:rPr>
          <w:rFonts w:hint="eastAsia" w:ascii="宋体" w:hAnsi="宋体" w:eastAsia="宋体" w:cs="宋体"/>
          <w:b w:val="0"/>
          <w:bCs/>
          <w:color w:val="auto"/>
          <w:sz w:val="22"/>
          <w:szCs w:val="22"/>
          <w:highlight w:val="none"/>
          <w:u w:val="none"/>
        </w:rPr>
        <w:t xml:space="preserve">应</w:t>
      </w:r>
      <w:r>
        <w:rPr>
          <w:rFonts w:hint="eastAsia" w:ascii="宋体" w:hAnsi="宋体" w:eastAsia="宋体" w:cs="宋体"/>
          <w:b w:val="0"/>
          <w:bCs/>
          <w:color w:val="auto"/>
          <w:sz w:val="22"/>
          <w:szCs w:val="22"/>
          <w:highlight w:val="none"/>
          <w:u w:val="none"/>
          <w:lang w:eastAsia="zh-CN"/>
        </w:rPr>
        <w:t xml:space="preserve">当按国家相关法律法规，合理确定服务人员工资标准、</w:t>
      </w:r>
      <w:r>
        <w:rPr>
          <w:rFonts w:hint="eastAsia" w:ascii="宋体" w:hAnsi="宋体" w:eastAsia="宋体" w:cs="宋体"/>
          <w:b w:val="0"/>
          <w:bCs/>
          <w:color w:val="auto"/>
          <w:sz w:val="22"/>
          <w:szCs w:val="22"/>
          <w:highlight w:val="none"/>
          <w:u w:val="none"/>
        </w:rPr>
        <w:t xml:space="preserve">工作时间</w:t>
      </w:r>
      <w:r>
        <w:rPr>
          <w:rFonts w:hint="eastAsia" w:ascii="宋体" w:hAnsi="宋体" w:eastAsia="宋体" w:cs="宋体"/>
          <w:b w:val="0"/>
          <w:bCs/>
          <w:color w:val="auto"/>
          <w:sz w:val="22"/>
          <w:szCs w:val="22"/>
          <w:highlight w:val="none"/>
          <w:u w:val="none"/>
          <w:lang w:eastAsia="zh-CN"/>
        </w:rPr>
        <w:t xml:space="preserve">等</w:t>
      </w:r>
      <w:r>
        <w:rPr>
          <w:rFonts w:hint="eastAsia" w:ascii="宋体" w:hAnsi="宋体" w:eastAsia="宋体" w:cs="宋体"/>
          <w:b w:val="0"/>
          <w:bCs/>
          <w:color w:val="auto"/>
          <w:sz w:val="22"/>
          <w:szCs w:val="22"/>
          <w:highlight w:val="none"/>
          <w:u w:val="none"/>
        </w:rPr>
        <w:t xml:space="preserve">。</w:t>
      </w:r>
      <w:r/>
    </w:p>
    <w:p>
      <w:pPr>
        <w:numPr>
          <w:ilvl w:val="0"/>
          <w:numId w:val="0"/>
        </w:numPr>
        <w:ind w:firstLine="440"/>
        <w:jc w:val="left"/>
        <w:keepLines w:val="0"/>
        <w:keepNext w:val="0"/>
        <w:pageBreakBefore w:val="0"/>
        <w:spacing w:line="360" w:lineRule="auto"/>
        <w:widowControl/>
        <w:rPr>
          <w:rFonts w:hint="eastAsia" w:ascii="宋体" w:hAnsi="宋体" w:eastAsia="宋体" w:cs="宋体"/>
          <w:b w:val="0"/>
          <w:bCs/>
          <w:color w:val="auto"/>
          <w:sz w:val="22"/>
          <w:szCs w:val="22"/>
          <w:highlight w:val="none"/>
          <w:u w:val="none"/>
        </w:rPr>
      </w:pPr>
      <w:r>
        <w:rPr>
          <w:rFonts w:hint="eastAsia" w:ascii="宋体" w:hAnsi="宋体" w:eastAsia="宋体" w:cs="宋体"/>
          <w:b w:val="0"/>
          <w:bCs/>
          <w:color w:val="auto"/>
          <w:sz w:val="22"/>
          <w:szCs w:val="22"/>
          <w:highlight w:val="none"/>
          <w:u w:val="none"/>
          <w:lang w:val="en-US" w:eastAsia="zh-CN"/>
        </w:rPr>
        <w:t xml:space="preserve">5.1供应商</w:t>
      </w:r>
      <w:r>
        <w:rPr>
          <w:rFonts w:hint="eastAsia" w:ascii="宋体" w:hAnsi="宋体" w:eastAsia="宋体" w:cs="宋体"/>
          <w:bCs/>
          <w:i w:val="0"/>
          <w:iCs w:val="0"/>
          <w:color w:val="auto"/>
          <w:sz w:val="22"/>
          <w:szCs w:val="22"/>
          <w:highlight w:val="none"/>
          <w:u w:val="none"/>
          <w:lang w:val="en-US" w:eastAsia="zh-CN" w:bidi="ar"/>
        </w:rPr>
        <w:t xml:space="preserve">应当自行为服务人员办理必需的保险</w:t>
      </w:r>
      <w:r>
        <w:rPr>
          <w:rFonts w:hint="eastAsia" w:ascii="宋体" w:hAnsi="宋体" w:eastAsia="宋体" w:cs="宋体"/>
          <w:b w:val="0"/>
          <w:bCs/>
          <w:color w:val="auto"/>
          <w:sz w:val="22"/>
          <w:szCs w:val="22"/>
          <w:highlight w:val="none"/>
          <w:u w:val="none"/>
        </w:rPr>
        <w:t xml:space="preserve">，有关人员伤亡及第三者责任险均</w:t>
      </w:r>
      <w:r>
        <w:rPr>
          <w:rFonts w:hint="eastAsia" w:ascii="宋体" w:hAnsi="宋体" w:eastAsia="宋体" w:cs="宋体"/>
          <w:b w:val="0"/>
          <w:bCs/>
          <w:color w:val="auto"/>
          <w:sz w:val="22"/>
          <w:szCs w:val="22"/>
          <w:highlight w:val="none"/>
          <w:u w:val="none"/>
          <w:lang w:val="en-US" w:eastAsia="zh-CN"/>
        </w:rPr>
        <w:t xml:space="preserve">应当</w:t>
      </w:r>
      <w:r>
        <w:rPr>
          <w:rFonts w:hint="eastAsia" w:ascii="宋体" w:hAnsi="宋体" w:eastAsia="宋体" w:cs="宋体"/>
          <w:b w:val="0"/>
          <w:bCs/>
          <w:color w:val="auto"/>
          <w:sz w:val="22"/>
          <w:szCs w:val="22"/>
          <w:highlight w:val="none"/>
          <w:u w:val="none"/>
        </w:rPr>
        <w:t xml:space="preserve">考虑在报价因素中。</w:t>
      </w:r>
      <w:bookmarkEnd w:id="10"/>
      <w:r/>
      <w:bookmarkEnd w:id="11"/>
      <w:r/>
      <w:bookmarkEnd w:id="12"/>
      <w:r/>
      <w:bookmarkStart w:id="13" w:name="_Toc1962"/>
      <w:r/>
      <w:bookmarkStart w:id="14" w:name="_Toc20385"/>
      <w:r/>
      <w:bookmarkStart w:id="15" w:name="_Toc21574"/>
      <w:r/>
      <w:r/>
    </w:p>
    <w:p>
      <w:pPr>
        <w:numPr>
          <w:ilvl w:val="0"/>
          <w:numId w:val="0"/>
        </w:numPr>
        <w:ind w:firstLine="440"/>
        <w:jc w:val="left"/>
        <w:keepLines w:val="0"/>
        <w:keepNext w:val="0"/>
        <w:pageBreakBefore w:val="0"/>
        <w:spacing w:line="360" w:lineRule="auto"/>
        <w:widowControl/>
        <w:rPr>
          <w:rFonts w:hint="eastAsia" w:ascii="宋体" w:hAnsi="宋体" w:eastAsia="宋体" w:cs="宋体"/>
          <w:b w:val="0"/>
          <w:bCs/>
          <w:color w:val="auto"/>
          <w:sz w:val="22"/>
          <w:szCs w:val="22"/>
          <w:highlight w:val="none"/>
          <w:u w:val="none"/>
        </w:rPr>
      </w:pPr>
      <w:r>
        <w:rPr>
          <w:rFonts w:hint="eastAsia" w:ascii="宋体" w:hAnsi="宋体" w:eastAsia="宋体" w:cs="宋体"/>
          <w:b w:val="0"/>
          <w:bCs/>
          <w:color w:val="auto"/>
          <w:sz w:val="22"/>
          <w:szCs w:val="22"/>
          <w:highlight w:val="none"/>
          <w:u w:val="none"/>
          <w:lang w:val="en-US" w:eastAsia="zh-CN"/>
        </w:rPr>
        <w:t xml:space="preserve">5.2</w:t>
      </w:r>
      <w:r>
        <w:rPr>
          <w:rFonts w:hint="eastAsia" w:ascii="宋体" w:hAnsi="宋体" w:eastAsia="宋体" w:cs="宋体"/>
          <w:b w:val="0"/>
          <w:bCs/>
          <w:color w:val="auto"/>
          <w:sz w:val="22"/>
          <w:szCs w:val="22"/>
          <w:highlight w:val="none"/>
          <w:u w:val="none"/>
        </w:rPr>
        <w:t xml:space="preserve">根据采购人的要求，中标供应商应为本项目承包区域内各项服务工作配备足够人员。中标供应商要合法用工，并派用与医院后勤服务相适应的工人。所有人员必须遵守国家法律、法规及业主的各项规章制度，具有良好素养和上岗资质，具有与工作相适应的文化程度，无不良记录及嗜好，爱岗敬业、工作勤快，礼貌待人、和蔼处事，相貌端正、身体健康（无重大器官残疾或传染疾病）。</w:t>
      </w:r>
      <w:r/>
    </w:p>
    <w:p>
      <w:pPr>
        <w:numPr>
          <w:ilvl w:val="0"/>
          <w:numId w:val="0"/>
        </w:numPr>
        <w:ind w:firstLine="440"/>
        <w:jc w:val="left"/>
        <w:keepLines w:val="0"/>
        <w:keepNext w:val="0"/>
        <w:pageBreakBefore w:val="0"/>
        <w:spacing w:line="360" w:lineRule="auto"/>
        <w:widowControl/>
        <w:rPr>
          <w:rFonts w:hint="eastAsia" w:ascii="宋体" w:hAnsi="宋体" w:eastAsia="宋体" w:cs="宋体"/>
          <w:b w:val="0"/>
          <w:bCs/>
          <w:color w:val="auto"/>
          <w:sz w:val="22"/>
          <w:szCs w:val="22"/>
          <w:highlight w:val="none"/>
          <w:u w:val="none"/>
        </w:rPr>
      </w:pPr>
      <w:r>
        <w:rPr>
          <w:rFonts w:hint="eastAsia" w:ascii="宋体" w:hAnsi="宋体" w:eastAsia="宋体" w:cs="宋体"/>
          <w:b w:val="0"/>
          <w:bCs/>
          <w:color w:val="auto"/>
          <w:sz w:val="22"/>
          <w:szCs w:val="22"/>
          <w:highlight w:val="none"/>
          <w:u w:val="none"/>
          <w:lang w:val="en-US" w:eastAsia="zh-CN"/>
        </w:rPr>
        <w:t xml:space="preserve">5.3</w:t>
      </w:r>
      <w:r>
        <w:rPr>
          <w:rFonts w:hint="eastAsia" w:ascii="宋体" w:hAnsi="宋体" w:eastAsia="宋体" w:cs="宋体"/>
          <w:b w:val="0"/>
          <w:bCs/>
          <w:color w:val="auto"/>
          <w:sz w:val="22"/>
          <w:szCs w:val="22"/>
          <w:highlight w:val="none"/>
          <w:u w:val="none"/>
        </w:rPr>
        <w:t xml:space="preserve">各类物业工作人员应参加相关的专业知识培训，中标供应商必须对所录用人员必须严格政审，保证录用人员没有刑事犯罪记录，持体检证明及相应专业岗位资格证。中标物业单位所录用人员必须符合国家相关的法律法规的要求（包括国家劳动法和地方相关管理规定），所有用工人员录用后须到甲方备案，于合同签订之日起七日内所有服务人员必须按要求持证上岗（包括项目需求中要求的健康体检报告等），并向归口管理部门进行备案。投标时无需提供以上人员证书。</w:t>
      </w:r>
      <w:r/>
    </w:p>
    <w:p>
      <w:pPr>
        <w:numPr>
          <w:ilvl w:val="0"/>
          <w:numId w:val="1"/>
        </w:numPr>
        <w:ind w:firstLine="440"/>
        <w:jc w:val="left"/>
        <w:keepLines w:val="0"/>
        <w:keepNext w:val="0"/>
        <w:pageBreakBefore w:val="0"/>
        <w:spacing w:line="360" w:lineRule="auto"/>
        <w:widowControl/>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rPr>
        <w:t xml:space="preserve">商务要求</w:t>
      </w:r>
      <w:r/>
    </w:p>
    <w:p>
      <w:pPr>
        <w:numPr>
          <w:ilvl w:val="0"/>
          <w:numId w:val="0"/>
        </w:numPr>
        <w:ind w:firstLine="440"/>
        <w:jc w:val="left"/>
        <w:keepLines w:val="0"/>
        <w:keepNext w:val="0"/>
        <w:pageBreakBefore w:val="0"/>
        <w:spacing w:line="360" w:lineRule="auto"/>
        <w:widowControl/>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6.1实施期限：服务期一年。</w:t>
      </w:r>
      <w:r/>
    </w:p>
    <w:p>
      <w:pPr>
        <w:numPr>
          <w:ilvl w:val="0"/>
          <w:numId w:val="0"/>
        </w:numPr>
        <w:ind w:firstLine="440"/>
        <w:jc w:val="left"/>
        <w:keepLines w:val="0"/>
        <w:keepNext w:val="0"/>
        <w:pageBreakBefore w:val="0"/>
        <w:spacing w:line="360" w:lineRule="auto"/>
        <w:widowControl/>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6.2付款方式</w:t>
      </w:r>
      <w:r/>
    </w:p>
    <w:p>
      <w:pPr>
        <w:ind w:firstLine="440"/>
        <w:pageBreakBefore w:val="0"/>
        <w:spacing w:line="360" w:lineRule="auto"/>
        <w:rPr>
          <w:rFonts w:hint="eastAsia" w:ascii="宋体" w:hAnsi="宋体" w:eastAsia="宋体" w:cs="宋体"/>
          <w:b w:val="0"/>
          <w:bCs w:val="0"/>
          <w:color w:val="auto"/>
          <w:sz w:val="22"/>
          <w:szCs w:val="22"/>
          <w:highlight w:val="none"/>
          <w:u w:val="none"/>
          <w:lang w:eastAsia="zh-CN"/>
        </w:rPr>
      </w:pPr>
      <w:r>
        <w:rPr>
          <w:rFonts w:hint="eastAsia" w:ascii="宋体" w:hAnsi="宋体" w:eastAsia="宋体" w:cs="宋体"/>
          <w:b w:val="0"/>
          <w:bCs w:val="0"/>
          <w:color w:val="auto"/>
          <w:sz w:val="22"/>
          <w:szCs w:val="22"/>
          <w:highlight w:val="none"/>
          <w:u w:val="none"/>
          <w:lang w:eastAsia="zh-CN"/>
        </w:rPr>
        <w:t xml:space="preserve">预付款支付时间：合同签订后，甲方收到乙方等额的合法发票后10个工作日内，预付款支付比例为合同金额的30%。</w:t>
      </w:r>
      <w:r/>
    </w:p>
    <w:p>
      <w:pPr>
        <w:ind w:firstLine="440"/>
        <w:pageBreakBefore w:val="0"/>
        <w:spacing w:line="360" w:lineRule="auto"/>
        <w:rPr>
          <w:rFonts w:hint="eastAsia" w:ascii="宋体" w:hAnsi="宋体" w:eastAsia="宋体" w:cs="宋体"/>
          <w:b w:val="0"/>
          <w:bCs w:val="0"/>
          <w:color w:val="auto"/>
          <w:sz w:val="22"/>
          <w:szCs w:val="22"/>
          <w:highlight w:val="none"/>
          <w:u w:val="none"/>
          <w:lang w:eastAsia="zh-CN"/>
        </w:rPr>
      </w:pPr>
      <w:r>
        <w:rPr>
          <w:rFonts w:hint="eastAsia" w:ascii="宋体" w:hAnsi="宋体" w:eastAsia="宋体" w:cs="宋体"/>
          <w:b w:val="0"/>
          <w:bCs w:val="0"/>
          <w:color w:val="auto"/>
          <w:sz w:val="22"/>
          <w:szCs w:val="22"/>
          <w:highlight w:val="none"/>
          <w:u w:val="none"/>
          <w:lang w:eastAsia="zh-CN"/>
        </w:rPr>
        <w:t xml:space="preserve">每月30日前，甲方根据服务单位管理资料、费用支付申请与甲方考核结果（包括服务与培训情况、工资发放、社保缴纳等），甲方收到乙方等额的合法发票后10个工作日内向乙方支付上一个月服务费（付款时，扣回预付款），付款时须按照国家相关规定及甲方的要求提供有效的增值税发票。</w:t>
      </w:r>
      <w:r/>
    </w:p>
    <w:p>
      <w:pPr>
        <w:ind w:firstLine="440"/>
        <w:pageBreakBefore w:val="0"/>
        <w:spacing w:line="360" w:lineRule="auto"/>
        <w:rPr>
          <w:rFonts w:hint="eastAsia" w:ascii="宋体" w:hAnsi="宋体" w:eastAsia="宋体" w:cs="宋体"/>
          <w:b w:val="0"/>
          <w:bCs w:val="0"/>
          <w:color w:val="auto"/>
          <w:sz w:val="22"/>
          <w:szCs w:val="22"/>
          <w:highlight w:val="none"/>
          <w:u w:val="none"/>
          <w:lang w:eastAsia="zh-CN"/>
        </w:rPr>
      </w:pPr>
      <w:r>
        <w:rPr>
          <w:rFonts w:hint="eastAsia" w:ascii="宋体" w:hAnsi="宋体" w:eastAsia="宋体" w:cs="宋体"/>
          <w:b w:val="0"/>
          <w:bCs w:val="0"/>
          <w:color w:val="auto"/>
          <w:sz w:val="22"/>
          <w:szCs w:val="22"/>
          <w:highlight w:val="none"/>
          <w:u w:val="none"/>
          <w:lang w:eastAsia="zh-CN"/>
        </w:rPr>
        <w:t xml:space="preserve">注：（1）按以上付款，无任何银行利息，由乙方事先提供税务发票，一律通过银行结转。</w:t>
      </w:r>
      <w:r/>
    </w:p>
    <w:p>
      <w:pPr>
        <w:numPr>
          <w:ilvl w:val="0"/>
          <w:numId w:val="2"/>
        </w:numPr>
        <w:ind w:firstLine="440"/>
        <w:pageBreakBefore w:val="0"/>
        <w:spacing w:line="360" w:lineRule="auto"/>
        <w:rPr>
          <w:rFonts w:hint="eastAsia" w:ascii="宋体" w:hAnsi="宋体" w:eastAsia="宋体" w:cs="宋体"/>
          <w:b w:val="0"/>
          <w:bCs w:val="0"/>
          <w:color w:val="auto"/>
          <w:sz w:val="22"/>
          <w:szCs w:val="22"/>
          <w:highlight w:val="none"/>
          <w:u w:val="none"/>
          <w:lang w:eastAsia="zh-CN"/>
        </w:rPr>
      </w:pPr>
      <w:r>
        <w:rPr>
          <w:rFonts w:hint="eastAsia" w:ascii="宋体" w:hAnsi="宋体" w:eastAsia="宋体" w:cs="宋体"/>
          <w:b w:val="0"/>
          <w:bCs w:val="0"/>
          <w:color w:val="auto"/>
          <w:sz w:val="22"/>
          <w:szCs w:val="22"/>
          <w:highlight w:val="none"/>
          <w:u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p>
      <w:pPr>
        <w:numPr>
          <w:ilvl w:val="0"/>
          <w:numId w:val="2"/>
        </w:numPr>
        <w:ind w:firstLine="442"/>
        <w:pageBreakBefore w:val="0"/>
        <w:spacing w:line="360" w:lineRule="auto"/>
        <w:rPr>
          <w:rFonts w:hint="eastAsia" w:ascii="宋体" w:hAnsi="宋体" w:eastAsia="宋体" w:cs="宋体"/>
          <w:b/>
          <w:bCs/>
          <w:color w:val="auto"/>
          <w:sz w:val="22"/>
          <w:szCs w:val="36"/>
          <w:highlight w:val="none"/>
          <w:lang w:val="en-US" w:eastAsia="zh-CN"/>
        </w:rPr>
      </w:pPr>
      <w:r>
        <w:rPr>
          <w:rFonts w:hint="eastAsia" w:ascii="宋体" w:hAnsi="宋体" w:eastAsia="宋体" w:cs="宋体"/>
          <w:b/>
          <w:bCs/>
          <w:color w:val="auto"/>
          <w:sz w:val="22"/>
          <w:szCs w:val="36"/>
          <w:highlight w:val="none"/>
          <w:lang w:val="en-US" w:eastAsia="zh-CN"/>
        </w:rPr>
        <w:t xml:space="preserve">6.3验收标准与要求</w:t>
      </w:r>
      <w:r/>
    </w:p>
    <w:p>
      <w:pPr>
        <w:ind w:firstLine="440"/>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6.3.1采购人将根据招标文件约定的相关《考核标准》依法组织履约验收工作。</w:t>
      </w:r>
      <w:r/>
    </w:p>
    <w:p>
      <w:pPr>
        <w:ind w:firstLine="440"/>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6.3.2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40"/>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6.3.3对于实际使用人和甲方分离的项目，甲方邀请实际使用人参与验收。</w:t>
      </w:r>
      <w:r/>
    </w:p>
    <w:p>
      <w:pPr>
        <w:ind w:firstLine="440"/>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6.3.4如有必要，采购人邀请参加本项目的其他供应商或第三方专业机构及专家参与验收，相关意见将作为验收书的参考资料。</w:t>
      </w:r>
      <w:r/>
    </w:p>
    <w:p>
      <w:pPr>
        <w:ind w:firstLine="440"/>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6.3.5采购人成立验收小组，按照采购合同的约定对乙方的履约情况进行验收。验收时，甲方按照采购合同</w:t>
      </w:r>
      <w:r>
        <w:rPr>
          <w:rFonts w:hint="eastAsia" w:ascii="宋体" w:hAnsi="宋体" w:eastAsia="宋体" w:cs="宋体"/>
          <w:b w:val="0"/>
          <w:bCs w:val="0"/>
          <w:color w:val="auto"/>
          <w:sz w:val="22"/>
          <w:szCs w:val="36"/>
          <w:highlight w:val="none"/>
          <w:lang w:val="en-US" w:eastAsia="zh-CN"/>
        </w:rPr>
        <w:t xml:space="preserve">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6.3.6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numPr>
          <w:ilvl w:val="0"/>
          <w:numId w:val="0"/>
        </w:numPr>
        <w:pageBreakBefore w:val="0"/>
        <w:spacing w:line="360" w:lineRule="auto"/>
        <w:rPr>
          <w:rFonts w:hint="eastAsia" w:ascii="宋体" w:hAnsi="宋体" w:eastAsia="宋体" w:cs="宋体"/>
          <w:b/>
          <w:bCs/>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6.3.4考核标准：</w:t>
      </w:r>
      <w:r/>
    </w:p>
    <w:p>
      <w:pPr>
        <w:pStyle w:val="755"/>
        <w:pageBreakBefore w:val="0"/>
        <w:spacing w:line="360" w:lineRule="auto"/>
        <w:rPr>
          <w:rFonts w:hint="eastAsia" w:ascii="宋体" w:hAnsi="宋体" w:eastAsia="宋体" w:cs="宋体"/>
          <w:b w:val="0"/>
          <w:bCs w:val="0"/>
          <w:color w:val="auto"/>
          <w:sz w:val="22"/>
          <w:szCs w:val="36"/>
          <w:highlight w:val="none"/>
          <w:lang w:val="en-US" w:eastAsia="zh-CN" w:bidi="ar-SA"/>
        </w:rPr>
      </w:pPr>
      <w:r>
        <w:rPr>
          <w:rFonts w:hint="eastAsia" w:ascii="宋体" w:hAnsi="宋体" w:eastAsia="宋体" w:cs="宋体"/>
          <w:b w:val="0"/>
          <w:bCs w:val="0"/>
          <w:color w:val="auto"/>
          <w:sz w:val="22"/>
          <w:szCs w:val="36"/>
          <w:highlight w:val="none"/>
          <w:lang w:val="en-US" w:eastAsia="zh-CN"/>
        </w:rPr>
        <w:t xml:space="preserve">（1</w:t>
      </w:r>
      <w:r>
        <w:rPr>
          <w:rFonts w:hint="eastAsia" w:ascii="宋体" w:hAnsi="宋体" w:eastAsia="宋体" w:cs="宋体"/>
          <w:b w:val="0"/>
          <w:bCs w:val="0"/>
          <w:color w:val="auto"/>
          <w:sz w:val="22"/>
          <w:szCs w:val="36"/>
          <w:highlight w:val="none"/>
          <w:lang w:val="en-US" w:eastAsia="zh-CN" w:bidi="ar-SA"/>
        </w:rPr>
        <w:t xml:space="preserve">）日常考核：物管办每月至少两次派出专人对工作内容的完成情况进行督促检查，</w:t>
      </w:r>
      <w:r/>
    </w:p>
    <w:p>
      <w:pPr>
        <w:pStyle w:val="755"/>
        <w:pageBreakBefore w:val="0"/>
        <w:spacing w:line="360" w:lineRule="auto"/>
        <w:rPr>
          <w:rFonts w:hint="eastAsia" w:ascii="宋体" w:hAnsi="宋体" w:eastAsia="宋体" w:cs="宋体"/>
          <w:b w:val="0"/>
          <w:bCs w:val="0"/>
          <w:color w:val="auto"/>
          <w:sz w:val="22"/>
          <w:szCs w:val="36"/>
          <w:highlight w:val="none"/>
          <w:lang w:val="en-US" w:eastAsia="zh-CN" w:bidi="ar-SA"/>
        </w:rPr>
      </w:pPr>
      <w:r>
        <w:rPr>
          <w:rFonts w:hint="eastAsia" w:ascii="宋体" w:hAnsi="宋体" w:eastAsia="宋体" w:cs="宋体"/>
          <w:b w:val="0"/>
          <w:bCs w:val="0"/>
          <w:color w:val="auto"/>
          <w:sz w:val="22"/>
          <w:szCs w:val="36"/>
          <w:highlight w:val="none"/>
          <w:lang w:val="en-US" w:eastAsia="zh-CN" w:bidi="ar-SA"/>
        </w:rPr>
        <w:t xml:space="preserve">其余时间不定期抽查，检查人填写工作检查记录由物业公司被检查人签字认可并整理保存。根据平时检查结果，作为考核内容存档。物管办有权针对出现的问题</w:t>
      </w:r>
      <w:r/>
    </w:p>
    <w:p>
      <w:pPr>
        <w:pStyle w:val="755"/>
        <w:pageBreakBefore w:val="0"/>
        <w:spacing w:line="360" w:lineRule="auto"/>
        <w:rPr>
          <w:rFonts w:hint="eastAsia" w:ascii="宋体" w:hAnsi="宋体" w:eastAsia="宋体" w:cs="宋体"/>
          <w:b w:val="0"/>
          <w:bCs w:val="0"/>
          <w:color w:val="auto"/>
          <w:sz w:val="22"/>
          <w:szCs w:val="36"/>
          <w:highlight w:val="none"/>
          <w:lang w:val="en-US" w:eastAsia="zh-CN" w:bidi="ar-SA"/>
        </w:rPr>
      </w:pPr>
      <w:r>
        <w:rPr>
          <w:rFonts w:hint="eastAsia" w:ascii="宋体" w:hAnsi="宋体" w:eastAsia="宋体" w:cs="宋体"/>
          <w:b w:val="0"/>
          <w:bCs w:val="0"/>
          <w:color w:val="auto"/>
          <w:sz w:val="22"/>
          <w:szCs w:val="36"/>
          <w:highlight w:val="none"/>
          <w:lang w:val="en-US" w:eastAsia="zh-CN" w:bidi="ar-SA"/>
        </w:rPr>
        <w:t xml:space="preserve">对物业公司实施处罚，并下达书面整改通知，责成物管公司限期整改。</w:t>
      </w:r>
      <w:r/>
    </w:p>
    <w:p>
      <w:pPr>
        <w:pStyle w:val="755"/>
        <w:pageBreakBefore w:val="0"/>
        <w:spacing w:line="360" w:lineRule="auto"/>
        <w:rPr>
          <w:rFonts w:hint="eastAsia" w:ascii="宋体" w:hAnsi="宋体" w:eastAsia="宋体" w:cs="宋体"/>
          <w:b w:val="0"/>
          <w:bCs w:val="0"/>
          <w:color w:val="auto"/>
          <w:sz w:val="22"/>
          <w:szCs w:val="36"/>
          <w:highlight w:val="none"/>
          <w:lang w:val="en-US" w:eastAsia="zh-CN" w:bidi="ar-SA"/>
        </w:rPr>
      </w:pPr>
      <w:r>
        <w:rPr>
          <w:rFonts w:hint="eastAsia" w:ascii="宋体" w:hAnsi="宋体" w:eastAsia="宋体" w:cs="宋体"/>
          <w:b w:val="0"/>
          <w:bCs w:val="0"/>
          <w:color w:val="auto"/>
          <w:sz w:val="22"/>
          <w:szCs w:val="36"/>
          <w:highlight w:val="none"/>
          <w:lang w:val="en-US" w:eastAsia="zh-CN" w:bidi="ar-SA"/>
        </w:rPr>
        <w:t xml:space="preserve">（2）季度、年度考核</w:t>
      </w:r>
      <w:r/>
    </w:p>
    <w:p>
      <w:pPr>
        <w:pStyle w:val="755"/>
        <w:pageBreakBefore w:val="0"/>
        <w:spacing w:line="360" w:lineRule="auto"/>
        <w:rPr>
          <w:rFonts w:hint="eastAsia" w:ascii="宋体" w:hAnsi="宋体" w:eastAsia="宋体" w:cs="宋体"/>
          <w:b w:val="0"/>
          <w:bCs w:val="0"/>
          <w:color w:val="auto"/>
          <w:sz w:val="22"/>
          <w:szCs w:val="36"/>
          <w:highlight w:val="none"/>
          <w:lang w:val="en-US" w:eastAsia="zh-CN" w:bidi="ar-SA"/>
        </w:rPr>
      </w:pPr>
      <w:r>
        <w:rPr>
          <w:rFonts w:hint="eastAsia" w:ascii="宋体" w:hAnsi="宋体" w:eastAsia="宋体" w:cs="宋体"/>
          <w:b w:val="0"/>
          <w:bCs w:val="0"/>
          <w:color w:val="auto"/>
          <w:sz w:val="22"/>
          <w:szCs w:val="36"/>
          <w:highlight w:val="none"/>
          <w:lang w:val="en-US" w:eastAsia="zh-CN" w:bidi="ar-SA"/>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pStyle w:val="755"/>
        <w:pageBreakBefore w:val="0"/>
        <w:spacing w:line="360" w:lineRule="auto"/>
        <w:rPr>
          <w:rFonts w:hint="eastAsia" w:ascii="宋体" w:hAnsi="宋体" w:eastAsia="宋体" w:cs="宋体"/>
          <w:b w:val="0"/>
          <w:bCs w:val="0"/>
          <w:color w:val="auto"/>
          <w:sz w:val="22"/>
          <w:szCs w:val="36"/>
          <w:highlight w:val="none"/>
          <w:lang w:val="en-US" w:eastAsia="zh-CN" w:bidi="ar-SA"/>
        </w:rPr>
      </w:pPr>
      <w:r>
        <w:rPr>
          <w:rFonts w:hint="eastAsia" w:ascii="宋体" w:hAnsi="宋体" w:eastAsia="宋体" w:cs="宋体"/>
          <w:b w:val="0"/>
          <w:bCs w:val="0"/>
          <w:color w:val="auto"/>
          <w:sz w:val="22"/>
          <w:szCs w:val="36"/>
          <w:highlight w:val="none"/>
          <w:lang w:val="en-US" w:eastAsia="zh-CN" w:bidi="ar-SA"/>
        </w:rPr>
        <w:t xml:space="preserve">（3）物业管理工作考核大纲</w:t>
      </w:r>
      <w:r/>
    </w:p>
    <w:p>
      <w:pPr>
        <w:pStyle w:val="755"/>
        <w:pageBreakBefore w:val="0"/>
        <w:spacing w:line="360" w:lineRule="auto"/>
        <w:rPr>
          <w:rFonts w:hint="eastAsia" w:ascii="宋体" w:hAnsi="宋体" w:eastAsia="宋体" w:cs="宋体"/>
          <w:b w:val="0"/>
          <w:bCs w:val="0"/>
          <w:color w:val="auto"/>
          <w:sz w:val="22"/>
          <w:szCs w:val="36"/>
          <w:highlight w:val="none"/>
          <w:lang w:val="en-US" w:eastAsia="zh-CN" w:bidi="ar-SA"/>
        </w:rPr>
      </w:pPr>
      <w:r>
        <w:rPr>
          <w:rFonts w:hint="eastAsia" w:ascii="宋体" w:hAnsi="宋体" w:eastAsia="宋体" w:cs="宋体"/>
          <w:b w:val="0"/>
          <w:bCs w:val="0"/>
          <w:color w:val="auto"/>
          <w:sz w:val="22"/>
          <w:szCs w:val="36"/>
          <w:highlight w:val="none"/>
          <w:lang w:val="en-US" w:eastAsia="zh-CN" w:bidi="ar-SA"/>
        </w:rPr>
        <w:t xml:space="preserve">物业管理工作考核制度总分100分，分为科室考核和院内测评，科室考核占60分，院内测评占40分。</w:t>
      </w:r>
      <w:r/>
    </w:p>
    <w:p>
      <w:pPr>
        <w:pStyle w:val="755"/>
        <w:keepLines/>
        <w:keepNext/>
        <w:pageBreakBefore w:val="0"/>
        <w:spacing w:line="360" w:lineRule="auto"/>
        <w:widowControl w:val="off"/>
        <w:rPr>
          <w:rFonts w:hint="eastAsia" w:ascii="宋体" w:hAnsi="宋体" w:eastAsia="宋体" w:cs="宋体"/>
          <w:b w:val="0"/>
          <w:bCs w:val="0"/>
          <w:color w:val="auto"/>
          <w:sz w:val="22"/>
          <w:szCs w:val="36"/>
          <w:highlight w:val="none"/>
          <w:lang w:val="en-US" w:eastAsia="zh-CN" w:bidi="ar-SA"/>
        </w:rPr>
      </w:pPr>
      <w:r>
        <w:rPr>
          <w:rFonts w:hint="eastAsia" w:ascii="宋体" w:hAnsi="宋体" w:eastAsia="宋体" w:cs="宋体"/>
          <w:b w:val="0"/>
          <w:bCs w:val="0"/>
          <w:color w:val="auto"/>
          <w:sz w:val="22"/>
          <w:szCs w:val="36"/>
          <w:highlight w:val="none"/>
          <w:lang w:val="en-US" w:eastAsia="zh-CN" w:bidi="ar-SA"/>
        </w:rPr>
        <w:t xml:space="preserve">大纲如下：</w:t>
      </w:r>
      <w:r/>
    </w:p>
    <w:p>
      <w:pPr>
        <w:jc w:val="left"/>
        <w:keepLines w:val="0"/>
        <w:keepNext w:val="0"/>
        <w:pageBreakBefore w:val="0"/>
        <w:spacing w:line="520" w:lineRule="exact"/>
        <w:widowControl w:val="off"/>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yellow"/>
          <w:lang w:val="en-US" w:eastAsia="zh-CN"/>
        </w:rPr>
        <w:t xml:space="preserve">注：科室考核标准详见</w:t>
      </w:r>
      <w:r>
        <w:rPr>
          <w:rFonts w:hint="eastAsia" w:ascii="宋体" w:hAnsi="宋体" w:cs="宋体"/>
          <w:b/>
          <w:bCs/>
          <w:color w:val="auto"/>
          <w:sz w:val="24"/>
          <w:szCs w:val="24"/>
          <w:highlight w:val="yellow"/>
          <w:lang w:val="en-US" w:eastAsia="zh-CN"/>
        </w:rPr>
        <w:t xml:space="preserve">本招标文件</w:t>
      </w:r>
      <w:r>
        <w:rPr>
          <w:rFonts w:hint="eastAsia" w:ascii="宋体" w:hAnsi="宋体" w:eastAsia="宋体" w:cs="宋体"/>
          <w:b/>
          <w:bCs/>
          <w:color w:val="auto"/>
          <w:sz w:val="24"/>
          <w:szCs w:val="24"/>
          <w:highlight w:val="yellow"/>
          <w:lang w:val="en-US" w:eastAsia="zh-CN"/>
        </w:rPr>
        <w:t xml:space="preserve">第三章合同文本附件。</w:t>
      </w:r>
      <w:r/>
    </w:p>
    <w:p>
      <w:pPr>
        <w:pStyle w:val="755"/>
        <w:keepLines/>
        <w:keepNext/>
        <w:pageBreakBefore w:val="0"/>
        <w:spacing w:line="360" w:lineRule="auto"/>
        <w:widowControl w:val="off"/>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考核等级分为优、良、差三等，每季度考核一次。</w:t>
      </w:r>
      <w:r/>
    </w:p>
    <w:tbl>
      <w:tblPr>
        <w:tblStyle w:val="782"/>
        <w:tblW w:w="9255" w:type="dxa"/>
        <w:tblInd w:w="1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4"/>
        <w:gridCol w:w="2527"/>
        <w:gridCol w:w="2527"/>
        <w:gridCol w:w="1867"/>
      </w:tblGrid>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考核等级</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优</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良</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差</w:t>
            </w:r>
            <w:r/>
          </w:p>
        </w:tc>
      </w:tr>
      <w:tr>
        <w:trPr>
          <w:trHeight w:val="0"/>
        </w:trPr>
        <w:tc>
          <w:tcPr>
            <w:tcW w:w="2334"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分数范围</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90～100分</w:t>
            </w:r>
            <w:r/>
          </w:p>
        </w:tc>
        <w:tc>
          <w:tcPr>
            <w:tcW w:w="252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zh-CN" w:bidi="ar-SA"/>
              </w:rPr>
              <w:t xml:space="preserve">～9</w:t>
            </w: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0分</w:t>
            </w:r>
            <w:r/>
          </w:p>
        </w:tc>
        <w:tc>
          <w:tcPr>
            <w:tcW w:w="1867" w:type="dxa"/>
            <w:vAlign w:val="center"/>
            <w:textDirection w:val="lrTb"/>
            <w:noWrap w:val="false"/>
          </w:tcPr>
          <w:p>
            <w:pPr>
              <w:numPr>
                <w:ilvl w:val="0"/>
                <w:numId w:val="0"/>
              </w:numPr>
              <w:ind w:right="0"/>
              <w:jc w:val="center"/>
              <w:keepLines w:val="0"/>
              <w:keepNext w:val="0"/>
              <w:pageBreakBefore w:val="0"/>
              <w:spacing w:before="0" w:beforeAutospacing="0" w:afterAutospacing="0" w:line="360" w:lineRule="auto"/>
              <w:widowControl w:val="off"/>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suppressLineNumbers w:val="0"/>
            </w:pPr>
            <w:r>
              <w:rPr>
                <w:rFonts w:hint="eastAsia" w:ascii="宋体" w:hAnsi="宋体" w:eastAsia="宋体" w:cs="宋体"/>
                <w:b w:val="0"/>
                <w:bCs/>
                <w:i w:val="0"/>
                <w:iCs w:val="0"/>
                <w:caps w:val="0"/>
                <w:color w:val="auto"/>
                <w:spacing w:val="0"/>
                <w:sz w:val="24"/>
                <w:szCs w:val="24"/>
                <w:highlight w:val="none"/>
                <w:shd w:val="clear" w:color="auto" w:fill="ffffff"/>
                <w:vertAlign w:val="baseline"/>
                <w:lang w:val="en-US" w:eastAsia="en-US" w:bidi="ar-SA"/>
              </w:rPr>
              <w:t xml:space="preserve">60分以下</w:t>
            </w:r>
            <w:r/>
          </w:p>
        </w:tc>
      </w:tr>
    </w:tbl>
    <w:p>
      <w:pPr>
        <w:pStyle w:val="755"/>
        <w:keepLines/>
        <w:keepNext/>
        <w:pageBreakBefore w:val="0"/>
        <w:spacing w:line="360" w:lineRule="auto"/>
        <w:widowControl w:val="off"/>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考核结果与主管绩效挂钩，物业公司主管人员每月收入的20%由院方根据考核结果发放。考核为优，全额发放；考核为良，发放60%；考核不合格，全额扣除。</w:t>
      </w:r>
      <w:r/>
    </w:p>
    <w:p>
      <w:pPr>
        <w:numPr>
          <w:ilvl w:val="0"/>
          <w:numId w:val="1"/>
        </w:numPr>
        <w:ind w:left="0" w:firstLine="442"/>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bCs/>
          <w:color w:val="auto"/>
          <w:sz w:val="22"/>
          <w:szCs w:val="36"/>
          <w:highlight w:val="none"/>
          <w:lang w:val="en-US" w:eastAsia="zh-CN"/>
        </w:rPr>
        <w:t xml:space="preserve">需要说明的其他事项</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投标人必须是有能力按照招标文件规定的要求独立完成物业服务工作的投标人，中标后不允许分包、转包，中标项目负责人在合同期内未经业主许可不得更换。</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本项目严禁以“挂靠”等形式投标、中标，一经发现取消投标、中标资格，并按相关规定进行处罚。</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物业服务合同签订合同后，业主提供物业管理办公用房，办公设施用品由物业管理企业自行提供。</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物业服务合同终止时，物业管理企业应当将物业管理用房和所有物管资料、档案完</w:t>
      </w:r>
      <w:r/>
    </w:p>
    <w:p>
      <w:pPr>
        <w:numPr>
          <w:ilvl w:val="0"/>
          <w:numId w:val="0"/>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整地移交给业主。</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物业服务合同终止时，新中标的物业管理企业与原物业管理企业之间应当做好交接</w:t>
      </w:r>
      <w:r/>
    </w:p>
    <w:p>
      <w:pPr>
        <w:numPr>
          <w:ilvl w:val="0"/>
          <w:numId w:val="0"/>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工作。</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中标人须制订、抗台、安全等紧急预案，并切实地培训到每个岗位人员，并记录归</w:t>
      </w:r>
      <w:r/>
    </w:p>
    <w:p>
      <w:pPr>
        <w:numPr>
          <w:ilvl w:val="0"/>
          <w:numId w:val="0"/>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档。</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服务人员工作期间必须遵守医院的工作时间， 不能影响医院正常办公秩序。在重大</w:t>
      </w:r>
      <w:r/>
    </w:p>
    <w:p>
      <w:pPr>
        <w:numPr>
          <w:ilvl w:val="0"/>
          <w:numId w:val="0"/>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活动和突击性工作中，投标人须配合医院要求对服务人员统一指挥和调度。</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投标人不得在管理区域内从事与管理、服务工作无关的其他活动。</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投标人和个人不得利用管理区域内业主的房产、物业、水电等资源从事经营活动。</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保洁、秩序维护、维修人员因工作失误造成医院损失，投标人必须负全部责任并承</w:t>
      </w:r>
      <w:r/>
    </w:p>
    <w:p>
      <w:pPr>
        <w:numPr>
          <w:ilvl w:val="0"/>
          <w:numId w:val="0"/>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担相应经济赔偿或调整人员，造成严重社会影响的事件，医院有权及时终止合同。</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因物业管理服务不到位（包括卫生保洁不到位以及控烟工作（公共场所）等），采</w:t>
      </w:r>
      <w:r/>
    </w:p>
    <w:p>
      <w:pPr>
        <w:numPr>
          <w:ilvl w:val="0"/>
          <w:numId w:val="0"/>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购人将依照工作制度扣减物业管理费用。</w:t>
      </w:r>
      <w:r/>
    </w:p>
    <w:p>
      <w:pPr>
        <w:numPr>
          <w:ilvl w:val="0"/>
          <w:numId w:val="3"/>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投标人必须提供规范而完善的物业管理组织实施方案，物业管理服务标准及工作制</w:t>
      </w:r>
      <w:r/>
    </w:p>
    <w:p>
      <w:pPr>
        <w:numPr>
          <w:ilvl w:val="0"/>
          <w:numId w:val="0"/>
        </w:numPr>
        <w:pageBreakBefore w:val="0"/>
        <w:spacing w:line="360" w:lineRule="auto"/>
        <w:rPr>
          <w:rFonts w:hint="eastAsia" w:ascii="宋体" w:hAnsi="宋体" w:eastAsia="宋体" w:cs="宋体"/>
          <w:b w:val="0"/>
          <w:bCs w:val="0"/>
          <w:color w:val="auto"/>
          <w:sz w:val="22"/>
          <w:szCs w:val="36"/>
          <w:highlight w:val="none"/>
          <w:lang w:val="en-US" w:eastAsia="zh-CN"/>
        </w:rPr>
      </w:pPr>
      <w:r>
        <w:rPr>
          <w:rFonts w:hint="eastAsia" w:ascii="宋体" w:hAnsi="宋体" w:eastAsia="宋体" w:cs="宋体"/>
          <w:b w:val="0"/>
          <w:bCs w:val="0"/>
          <w:color w:val="auto"/>
          <w:sz w:val="22"/>
          <w:szCs w:val="36"/>
          <w:highlight w:val="none"/>
          <w:lang w:val="en-US" w:eastAsia="zh-CN"/>
        </w:rPr>
        <w:t xml:space="preserve">度等。</w:t>
      </w:r>
      <w:r/>
    </w:p>
    <w:p>
      <w:pPr>
        <w:pStyle w:val="755"/>
        <w:keepLines/>
        <w:keepNext/>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 w:val="0"/>
          <w:bCs w:val="0"/>
          <w:color w:val="auto"/>
          <w:sz w:val="22"/>
          <w:szCs w:val="36"/>
          <w:highlight w:val="none"/>
          <w:lang w:val="en-US" w:eastAsia="zh-CN"/>
        </w:rPr>
        <w:t xml:space="preserve">（13）本招标文件中未尽事宜，按国家和地方最新《物业管理条例》执行。</w:t>
      </w:r>
      <w:r/>
    </w:p>
    <w:p>
      <w:pPr>
        <w:pStyle w:val="755"/>
        <w:pageBreakBefore w:val="0"/>
        <w:spacing w:line="360" w:lineRule="auto"/>
        <w:rPr>
          <w:rFonts w:hint="eastAsia" w:ascii="宋体" w:hAnsi="宋体" w:eastAsia="宋体" w:cs="宋体"/>
          <w:color w:val="auto"/>
          <w:sz w:val="22"/>
          <w:szCs w:val="36"/>
          <w:highlight w:val="none"/>
        </w:rPr>
      </w:pPr>
      <w:r>
        <w:rPr>
          <w:rFonts w:hint="eastAsia" w:ascii="宋体" w:hAnsi="宋体" w:eastAsia="宋体" w:cs="宋体"/>
          <w:color w:val="auto"/>
          <w:sz w:val="22"/>
          <w:szCs w:val="36"/>
          <w:highlight w:val="none"/>
          <w:lang w:val="en-US" w:eastAsia="zh-CN"/>
        </w:rPr>
        <w:t xml:space="preserve">8.</w:t>
      </w:r>
      <w:r>
        <w:rPr>
          <w:rFonts w:hint="eastAsia" w:ascii="宋体" w:hAnsi="宋体" w:eastAsia="宋体" w:cs="宋体"/>
          <w:color w:val="auto"/>
          <w:sz w:val="22"/>
          <w:szCs w:val="36"/>
          <w:highlight w:val="none"/>
        </w:rPr>
        <w:t xml:space="preserve">采购项目需落实的政府采购政策</w:t>
      </w:r>
      <w:r/>
    </w:p>
    <w:p>
      <w:pPr>
        <w:pStyle w:val="760"/>
        <w:ind w:firstLine="440"/>
        <w:pageBreakBefore w:val="0"/>
        <w:spacing w:line="360" w:lineRule="auto"/>
        <w:rPr>
          <w:rFonts w:hint="eastAsia" w:ascii="宋体" w:hAnsi="宋体" w:eastAsia="宋体" w:cs="宋体"/>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bidi="ar"/>
        </w:rPr>
        <w:t xml:space="preserve">采购人应当落实政府采购政策，包括但不限于</w:t>
      </w:r>
      <w:r>
        <w:rPr>
          <w:rFonts w:hint="eastAsia" w:ascii="宋体" w:hAnsi="宋体" w:eastAsia="宋体" w:cs="宋体"/>
          <w:color w:val="auto"/>
          <w:sz w:val="22"/>
          <w:szCs w:val="22"/>
          <w:highlight w:val="none"/>
        </w:rPr>
        <w:t xml:space="preserve">促进中小企业发展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促进残疾人就业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政府绿色采购政策等。</w:t>
      </w:r>
      <w:bookmarkEnd w:id="13"/>
      <w:r/>
      <w:bookmarkEnd w:id="14"/>
      <w:r/>
      <w:bookmarkEnd w:id="15"/>
      <w:r/>
      <w:r/>
    </w:p>
    <w:p>
      <w:pPr>
        <w:pStyle w:val="755"/>
        <w:pageBreakBefore w:val="0"/>
        <w:spacing w:line="360" w:lineRule="auto"/>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9、采购标的对应的中小企业划分标准所属行业一览表</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26"/>
        <w:gridCol w:w="4084"/>
      </w:tblGrid>
      <w:tr>
        <w:trPr>
          <w:trHeight w:val="90"/>
        </w:trPr>
        <w:tc>
          <w:tcPr>
            <w:tcMar>
              <w:left w:w="108" w:type="dxa"/>
              <w:top w:w="0" w:type="dxa"/>
              <w:right w:w="108" w:type="dxa"/>
              <w:bottom w:w="0" w:type="dxa"/>
            </w:tcMar>
            <w:tcW w:w="5243" w:type="dxa"/>
            <w:vAlign w:val="center"/>
            <w:textDirection w:val="lrTb"/>
            <w:noWrap/>
          </w:tcPr>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采购标的</w:t>
            </w:r>
            <w:r/>
          </w:p>
        </w:tc>
        <w:tc>
          <w:tcPr>
            <w:tcMar>
              <w:left w:w="108" w:type="dxa"/>
              <w:top w:w="0" w:type="dxa"/>
              <w:right w:w="108" w:type="dxa"/>
              <w:bottom w:w="0" w:type="dxa"/>
            </w:tcMar>
            <w:tcW w:w="4097" w:type="dxa"/>
            <w:vAlign w:val="center"/>
            <w:textDirection w:val="lrTb"/>
            <w:noWrap/>
          </w:tcPr>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对应中小企业划分标准所属行业</w:t>
            </w:r>
            <w:r/>
          </w:p>
        </w:tc>
      </w:tr>
      <w:tr>
        <w:trPr>
          <w:trHeight w:val="625"/>
        </w:trPr>
        <w:tc>
          <w:tcPr>
            <w:tcMar>
              <w:left w:w="108" w:type="dxa"/>
              <w:top w:w="0" w:type="dxa"/>
              <w:right w:w="108" w:type="dxa"/>
              <w:bottom w:w="0" w:type="dxa"/>
            </w:tcMar>
            <w:tcW w:w="5243" w:type="dxa"/>
            <w:vAlign w:val="center"/>
            <w:textDirection w:val="lrTb"/>
            <w:noWrap/>
          </w:tcPr>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盐城市</w:t>
            </w:r>
            <w:r>
              <w:rPr>
                <w:rFonts w:hint="eastAsia" w:ascii="宋体" w:hAnsi="宋体" w:eastAsia="宋体" w:cs="宋体"/>
                <w:color w:val="auto"/>
                <w:sz w:val="24"/>
                <w:highlight w:val="none"/>
                <w:lang w:val="en-US" w:eastAsia="zh-CN"/>
              </w:rPr>
              <w:t xml:space="preserve">第一人民医院南院区</w:t>
            </w:r>
            <w:r>
              <w:rPr>
                <w:rFonts w:hint="eastAsia" w:ascii="宋体" w:hAnsi="宋体" w:eastAsia="宋体" w:cs="宋体"/>
                <w:color w:val="auto"/>
                <w:sz w:val="24"/>
                <w:highlight w:val="none"/>
              </w:rPr>
              <w:t xml:space="preserve">物业</w:t>
            </w:r>
            <w:r>
              <w:rPr>
                <w:rFonts w:hint="eastAsia" w:ascii="宋体" w:hAnsi="宋体" w:eastAsia="宋体" w:cs="宋体"/>
                <w:color w:val="auto"/>
                <w:sz w:val="24"/>
                <w:highlight w:val="none"/>
                <w:lang w:val="en-US" w:eastAsia="zh-CN"/>
              </w:rPr>
              <w:t xml:space="preserve">管理</w:t>
            </w:r>
            <w:r>
              <w:rPr>
                <w:rFonts w:hint="eastAsia" w:ascii="宋体" w:hAnsi="宋体" w:eastAsia="宋体" w:cs="宋体"/>
                <w:color w:val="auto"/>
                <w:sz w:val="24"/>
                <w:highlight w:val="none"/>
              </w:rPr>
              <w:t xml:space="preserve">服务</w:t>
            </w:r>
            <w:r/>
          </w:p>
        </w:tc>
        <w:tc>
          <w:tcPr>
            <w:tcMar>
              <w:left w:w="108" w:type="dxa"/>
              <w:top w:w="0" w:type="dxa"/>
              <w:right w:w="108" w:type="dxa"/>
              <w:bottom w:w="0" w:type="dxa"/>
            </w:tcMar>
            <w:tcW w:w="4097" w:type="dxa"/>
            <w:vAlign w:val="center"/>
            <w:textDirection w:val="lrTb"/>
            <w:noWrap/>
          </w:tcPr>
          <w:p>
            <w:pPr>
              <w:jc w:val="center"/>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物业管理</w:t>
            </w:r>
            <w:r/>
          </w:p>
        </w:tc>
      </w:tr>
    </w:tbl>
    <w:p>
      <w:pPr>
        <w:pStyle w:val="760"/>
        <w:ind w:firstLine="440"/>
        <w:pageBreakBefore w:val="0"/>
        <w:spacing w:line="360" w:lineRule="auto"/>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pStyle w:val="755"/>
        <w:pageBreakBefore w:val="0"/>
        <w:spacing w:line="360" w:lineRule="auto"/>
        <w:rPr>
          <w:rFonts w:hint="eastAsia" w:ascii="宋体" w:hAnsi="宋体" w:eastAsia="宋体" w:cs="宋体"/>
          <w:color w:val="auto"/>
          <w:sz w:val="22"/>
          <w:szCs w:val="36"/>
          <w:highlight w:val="none"/>
          <w:lang w:val="en-US" w:eastAsia="zh-CN"/>
        </w:rPr>
      </w:pPr>
      <w:r>
        <w:rPr>
          <w:rFonts w:hint="eastAsia" w:ascii="宋体" w:hAnsi="宋体" w:eastAsia="宋体" w:cs="宋体"/>
          <w:color w:val="auto"/>
          <w:sz w:val="22"/>
          <w:szCs w:val="36"/>
          <w:highlight w:val="none"/>
          <w:lang w:val="en-US" w:eastAsia="zh-CN"/>
        </w:rPr>
        <w:t xml:space="preserve">10、供应商综合实力要求</w:t>
      </w:r>
      <w:r/>
    </w:p>
    <w:p>
      <w:pPr>
        <w:pStyle w:val="760"/>
        <w:ind w:firstLine="440"/>
        <w:pageBreakBefore w:val="0"/>
        <w:spacing w:line="360" w:lineRule="auto"/>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1）投标人需具备丰富的物业服务经验，承担过相关物业服务业绩，确保本项目的顺利实施，投标人自2022年1月1日以来承担过与本项目服务内容相匹配的业绩，业绩服务范围包括保洁服务、陪检配送、医技工勤（导医等）、后勤技术工种（水电维修等)优先。</w:t>
      </w:r>
      <w:r/>
    </w:p>
    <w:p>
      <w:pPr>
        <w:pStyle w:val="760"/>
        <w:ind w:firstLine="440"/>
        <w:pageBreakBefore w:val="0"/>
        <w:spacing w:line="360" w:lineRule="auto"/>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（2）为体现投标人的服务质量、物业管理等综合实力水平，投标人拟派项目经理中专及以上学历优先。</w:t>
      </w:r>
      <w:r/>
    </w:p>
    <w:p>
      <w:pPr>
        <w:pStyle w:val="760"/>
        <w:ind w:firstLine="440"/>
        <w:pageBreakBefore w:val="0"/>
        <w:spacing w:line="360" w:lineRule="auto"/>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（3）体系认证</w:t>
      </w:r>
      <w:r/>
    </w:p>
    <w:p>
      <w:pPr>
        <w:pStyle w:val="760"/>
        <w:ind w:firstLine="440"/>
        <w:pageBreakBefore w:val="0"/>
        <w:spacing w:line="360" w:lineRule="auto"/>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公共环境灭菌消毒作业服务专业相关资质或认证证书的优先。</w:t>
      </w:r>
      <w:r/>
    </w:p>
    <w:p>
      <w:pPr>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br w:type="page" w:clear="all"/>
      </w:r>
      <w:r/>
    </w:p>
    <w:p>
      <w:pPr>
        <w:pStyle w:val="760"/>
        <w:ind w:firstLine="440"/>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t xml:space="preserve">附件一：</w:t>
      </w:r>
      <w:r/>
    </w:p>
    <w:p>
      <w:pPr>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color w:val="auto"/>
          <w:sz w:val="28"/>
          <w:szCs w:val="28"/>
          <w:highlight w:val="none"/>
          <w:lang w:val="en-US" w:eastAsia="zh-CN"/>
        </w:rPr>
        <w:t xml:space="preserve">盐城市第一人民医院南院区物业服务考核标准</w:t>
      </w:r>
      <w:r>
        <w:rPr>
          <w:rFonts w:hint="eastAsia" w:ascii="宋体" w:hAnsi="宋体" w:eastAsia="宋体" w:cs="宋体"/>
          <w:b/>
          <w:bCs/>
          <w:color w:val="auto"/>
          <w:sz w:val="32"/>
          <w:szCs w:val="32"/>
          <w:highlight w:val="none"/>
        </w:rPr>
        <w:br/>
      </w:r>
      <w:r/>
    </w:p>
    <w:tbl>
      <w:tblPr>
        <w:tblStyle w:val="758"/>
        <w:tblW w:w="100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0"/>
        <w:gridCol w:w="1101"/>
        <w:gridCol w:w="5743"/>
        <w:gridCol w:w="764"/>
        <w:gridCol w:w="717"/>
        <w:gridCol w:w="563"/>
      </w:tblGrid>
      <w:tr>
        <w:trPr>
          <w:jc w:val="center"/>
          <w:trHeight w:val="881"/>
        </w:trPr>
        <w:tc>
          <w:tcPr>
            <w:gridSpan w:val="6"/>
            <w:shd w:val="clear" w:color="auto" w:fill="auto"/>
            <w:tcBorders>
              <w:top w:val="none" w:color="000000" w:sz="4" w:space="0"/>
              <w:left w:val="none" w:color="000000" w:sz="4" w:space="0"/>
              <w:bottom w:val="single" w:color="000000" w:sz="4" w:space="0"/>
              <w:right w:val="none" w:color="000000" w:sz="4" w:space="0"/>
            </w:tcBorders>
            <w:tcW w:w="1009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32"/>
                <w:szCs w:val="32"/>
                <w:highlight w:val="none"/>
                <w:u w:val="none"/>
                <w:lang w:val="en-US" w:eastAsia="zh-CN"/>
              </w:rPr>
              <w:t xml:space="preserve">物管监督考核细则评分</w:t>
            </w:r>
            <w:r>
              <w:rPr>
                <w:rFonts w:hint="eastAsia" w:ascii="宋体" w:hAnsi="宋体" w:eastAsia="宋体" w:cs="宋体"/>
                <w:i w:val="0"/>
                <w:iCs w:val="0"/>
                <w:color w:val="auto"/>
                <w:sz w:val="22"/>
                <w:szCs w:val="22"/>
                <w:highlight w:val="none"/>
                <w:u w:val="none"/>
                <w:lang w:val="en-US" w:eastAsia="zh-CN"/>
              </w:rPr>
              <w:t xml:space="preserve">                                                                            </w:t>
            </w:r>
            <w:r/>
          </w:p>
          <w:p>
            <w:pPr>
              <w:jc w:val="center"/>
              <w:keepLines w:val="0"/>
              <w:keepNext w:val="0"/>
              <w:spacing w:line="24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                                                                   考核时间：     月     日</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检查中存</w:t>
            </w:r>
            <w:r/>
          </w:p>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在问题</w:t>
            </w:r>
            <w:r/>
          </w:p>
        </w:tc>
      </w:tr>
      <w:tr>
        <w:trPr>
          <w:jc w:val="center"/>
          <w:trHeight w:val="524"/>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2"/>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eastAsia="zh-CN"/>
              </w:rPr>
              <w:suppressLineNumbers w:val="0"/>
            </w:pPr>
            <w:r>
              <w:rPr>
                <w:rFonts w:hint="eastAsia" w:ascii="宋体" w:hAnsi="宋体" w:eastAsia="宋体" w:cs="宋体"/>
                <w:i w:val="0"/>
                <w:iCs w:val="0"/>
                <w:color w:val="auto"/>
                <w:sz w:val="18"/>
                <w:szCs w:val="18"/>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各级管理岗位配置齐全，管理人员认真负责，充分发挥管理职能，确保各项规急制度落实到位，工作有记录、有总结。</w:t>
            </w:r>
            <w:r>
              <w:rPr>
                <w:rFonts w:hint="eastAsia" w:ascii="宋体" w:hAnsi="宋体" w:eastAsia="宋体" w:cs="宋体"/>
                <w:i w:val="0"/>
                <w:iCs w:val="0"/>
                <w:color w:val="auto"/>
                <w:sz w:val="18"/>
                <w:szCs w:val="18"/>
                <w:highlight w:val="none"/>
                <w:u w:val="none"/>
                <w:lang w:val="en-US" w:eastAsia="zh-CN"/>
              </w:rPr>
              <w:t xml:space="preserve">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58"/>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1"/>
                <w:szCs w:val="21"/>
                <w:highlight w:val="none"/>
                <w:u w:val="none"/>
                <w:vertAlign w:val="baseline"/>
                <w:lang w:val="en-US" w:eastAsia="zh-CN"/>
              </w:rPr>
              <w:t xml:space="preserve">公司核照医院的要求将各岗位人员配置齐全，符合相应的岗位要求，人员稳定性好，社保人员比例大于50%，待遇按照规定标准全额执行，每月人员流失率低于5%。</w:t>
            </w:r>
            <w:r>
              <w:rPr>
                <w:rFonts w:hint="eastAsia" w:ascii="宋体" w:hAnsi="宋体" w:eastAsia="宋体" w:cs="宋体"/>
                <w:i w:val="0"/>
                <w:iCs w:val="0"/>
                <w:color w:val="auto"/>
                <w:sz w:val="18"/>
                <w:szCs w:val="18"/>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74"/>
        </w:trPr>
        <w:tc>
          <w:tcPr>
            <w:shd w:val="clear" w:color="auto" w:fill="auto"/>
            <w:tcBorders>
              <w:top w:val="non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sz w:val="21"/>
                <w:szCs w:val="21"/>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管理规范，有完备可行的绩效考核体系，绩效考核要与项目质量直接挂钩，绩效考核结果要与团队和个人利益相对应，社保结余费用作为福利发放，方案由公司拟定，院方核定。共8分，未实施扣除。</w:t>
            </w:r>
            <w:r/>
          </w:p>
        </w:tc>
        <w:tc>
          <w:tcPr>
            <w:shd w:val="clear" w:color="auto" w:fill="auto"/>
            <w:tcBorders>
              <w:top w:val="none" w:color="000000" w:sz="4" w:space="0"/>
              <w:left w:val="non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服务质量方面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人员必须在岗在位，在班时间不得干私活:无迟到、早退现象，无串岗、脱岗，不无故旷工。共3分，一次不符合扣1分。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43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窗口服务人员须遵熟记务规范，热情、主动、周到、文明。共3分，一次不符合扣1分。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保洁工具及时清洗，保持垃圾桶、拖把等工具清洁无异味，保持污洗间清洁，共5分，一次不符合1分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生活垃圾房及时清运，垃圾房内杂物，无蚊虫草生。共6分，一次不符合扣1分。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000000" w:sz="4" w:space="0"/>
            </w:tcBorders>
            <w:tcW w:w="764" w:type="dxa"/>
            <w:vMerge w:val="restart"/>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000000" w:sz="4" w:space="0"/>
            </w:tcBorders>
            <w:tcW w:w="764" w:type="dxa"/>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717" w:type="dxa"/>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none" w:color="000000" w:sz="4" w:space="0"/>
              <w:right w:val="single" w:color="000000" w:sz="4" w:space="0"/>
            </w:tcBorders>
            <w:tcW w:w="563" w:type="dxa"/>
            <w:vAlign w:val="bottom"/>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308"/>
        </w:trPr>
        <w:tc>
          <w:tcPr>
            <w:shd w:val="clear" w:color="auto" w:fill="auto"/>
            <w:tcBorders>
              <w:left w:val="single" w:color="000000" w:sz="4" w:space="0"/>
              <w:bottom w:val="single" w:color="000000" w:sz="4" w:space="0"/>
              <w:right w:val="single" w:color="000000" w:sz="4" w:space="0"/>
            </w:tcBorders>
            <w:tcW w:w="1210"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none" w:color="000000" w:sz="4" w:space="0"/>
              <w:right w:val="single" w:color="000000" w:sz="4" w:space="0"/>
            </w:tcBorders>
            <w:tcW w:w="1101"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000000" w:sz="4" w:space="0"/>
            </w:tcBorders>
            <w:tcW w:w="764" w:type="dxa"/>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717" w:type="dxa"/>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shd w:val="clear" w:color="auto" w:fill="auto"/>
            <w:tcBorders>
              <w:left w:val="single" w:color="000000" w:sz="4" w:space="0"/>
              <w:bottom w:val="single" w:color="auto" w:sz="4" w:space="0"/>
              <w:right w:val="single" w:color="000000" w:sz="4" w:space="0"/>
            </w:tcBorders>
            <w:tcW w:w="563" w:type="dxa"/>
            <w:vAlign w:val="bottom"/>
            <w:vMerge w:val="continue"/>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规章制度方面</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9"/>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有完善的检查制度</w:t>
            </w:r>
            <w:r>
              <w:rPr>
                <w:rFonts w:hint="eastAsia" w:ascii="宋体" w:hAnsi="宋体" w:eastAsia="宋体" w:cs="宋体"/>
                <w:color w:val="auto"/>
                <w:highlight w:val="none"/>
              </w:rPr>
              <w:t xml:space="preserve">工作记录、合同、培训档案等</w:t>
            </w:r>
            <w:r>
              <w:rPr>
                <w:rFonts w:hint="eastAsia" w:ascii="宋体" w:hAnsi="宋体" w:eastAsia="宋体" w:cs="宋体"/>
                <w:i w:val="0"/>
                <w:iCs w:val="0"/>
                <w:color w:val="auto"/>
                <w:sz w:val="18"/>
                <w:szCs w:val="18"/>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764"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安全生产管理方面</w:t>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23</w:t>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　</w:t>
            </w:r>
            <w:r/>
          </w:p>
        </w:tc>
      </w:tr>
      <w:tr>
        <w:trPr>
          <w:jc w:val="center"/>
          <w:trHeight w:val="360"/>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室外、高空作业具备防护设备。不符合标准扣4分。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相关人员安全管理制度，并定期进行抽查，共4分，一次不符合扣2分。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5"/>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每月召开安全会议，做好会议纪要。不符合标准扣2分。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2"/>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97"/>
        </w:trPr>
        <w:tc>
          <w:tcPr>
            <w:shd w:val="clear" w:color="auto" w:fill="auto"/>
            <w:tcBorders>
              <w:top w:val="single" w:color="000000" w:sz="4" w:space="0"/>
              <w:left w:val="single" w:color="000000" w:sz="4" w:space="0"/>
              <w:bottom w:val="none" w:color="000000" w:sz="4" w:space="0"/>
              <w:right w:val="single" w:color="000000" w:sz="4" w:space="0"/>
            </w:tcBorders>
            <w:tcW w:w="1210"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0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74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定期进行安全隐患的接查与整改，并做好持续改进。共6分，-次不符合扣2分。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764" w:type="dxa"/>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17" w:type="dxa"/>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563" w:type="dxa"/>
            <w:vAlign w:val="bottom"/>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22"/>
        </w:trPr>
        <w:tc>
          <w:tcPr>
            <w:gridSpan w:val="4"/>
            <w:shd w:val="clear" w:color="auto" w:fill="auto"/>
            <w:tcBorders>
              <w:top w:val="single" w:color="000000" w:sz="4" w:space="0"/>
              <w:left w:val="single" w:color="000000" w:sz="4" w:space="0"/>
              <w:bottom w:val="single" w:color="000000" w:sz="4" w:space="0"/>
              <w:right w:val="single" w:color="000000" w:sz="4" w:space="0"/>
            </w:tcBorders>
            <w:tcW w:w="8818" w:type="dxa"/>
            <w:vAlign w:val="center"/>
            <w:textDirection w:val="lrTb"/>
            <w:noWrap w:val="false"/>
          </w:tcPr>
          <w:p>
            <w:pPr>
              <w:ind w:firstLine="0"/>
              <w:jc w:val="left"/>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highlight w:val="none"/>
                <w:u w:val="none"/>
                <w:lang w:val="en-US" w:eastAsia="zh-CN"/>
              </w:rPr>
              <w:t xml:space="preserve">注：年度考核综合得分＜90分的，</w:t>
            </w:r>
            <w:r>
              <w:rPr>
                <w:rFonts w:hint="eastAsia" w:ascii="宋体" w:hAnsi="宋体" w:eastAsia="宋体" w:cs="宋体"/>
                <w:color w:val="auto"/>
                <w:sz w:val="24"/>
                <w:szCs w:val="24"/>
                <w:highlight w:val="none"/>
                <w:lang w:eastAsia="zh-CN"/>
              </w:rPr>
              <w:t xml:space="preserve">处以</w:t>
            </w:r>
            <w:r>
              <w:rPr>
                <w:rFonts w:hint="eastAsia" w:ascii="宋体" w:hAnsi="宋体" w:eastAsia="宋体" w:cs="宋体"/>
                <w:color w:val="auto"/>
                <w:sz w:val="24"/>
                <w:szCs w:val="24"/>
                <w:highlight w:val="none"/>
                <w:lang w:val="en-US" w:eastAsia="zh-CN"/>
              </w:rPr>
              <w:t xml:space="preserve">5%合同价的处罚</w:t>
            </w:r>
            <w:r>
              <w:rPr>
                <w:rFonts w:hint="eastAsia" w:ascii="宋体" w:hAnsi="宋体" w:eastAsia="宋体" w:cs="宋体"/>
                <w:color w:val="auto"/>
                <w:highlight w:val="none"/>
                <w:u w:val="none"/>
                <w:lang w:val="en-US" w:eastAsia="zh-CN"/>
              </w:rPr>
              <w:t xml:space="preserve">。考核周期为</w:t>
            </w:r>
            <w:r>
              <w:rPr>
                <w:rFonts w:hint="eastAsia" w:ascii="宋体" w:hAnsi="宋体" w:eastAsia="宋体" w:cs="宋体"/>
                <w:b w:val="0"/>
                <w:bCs/>
                <w:i w:val="0"/>
                <w:iCs w:val="0"/>
                <w:caps w:val="0"/>
                <w:color w:val="auto"/>
                <w:spacing w:val="0"/>
                <w:sz w:val="24"/>
                <w:szCs w:val="24"/>
                <w:highlight w:val="none"/>
                <w:shd w:val="clear" w:color="auto" w:fill="ffffff"/>
                <w:lang w:val="en-US" w:eastAsia="en-US" w:bidi="ar-SA"/>
              </w:rPr>
              <w:t xml:space="preserve">季度与年度考核重复时只做年度考核</w:t>
            </w:r>
            <w:r>
              <w:rPr>
                <w:rFonts w:hint="eastAsia" w:ascii="宋体" w:hAnsi="宋体" w:eastAsia="宋体" w:cs="宋体"/>
                <w:color w:val="auto"/>
                <w:highlight w:val="none"/>
                <w:u w:val="none"/>
                <w:lang w:val="en-US" w:eastAsia="zh-CN"/>
              </w:rPr>
              <w:t xml:space="preserve"> ，年度考核分为季度考核平均分。考核综合得分为</w:t>
            </w:r>
            <w:r>
              <w:rPr>
                <w:rFonts w:hint="eastAsia" w:ascii="宋体" w:hAnsi="宋体" w:eastAsia="宋体" w:cs="宋体"/>
                <w:color w:val="auto"/>
                <w:highlight w:val="none"/>
                <w:u w:val="none"/>
                <w:lang w:val="en-US" w:eastAsia="en-US"/>
              </w:rPr>
              <w:t xml:space="preserve">科室考核</w:t>
            </w:r>
            <w:r>
              <w:rPr>
                <w:rFonts w:hint="eastAsia" w:ascii="宋体" w:hAnsi="宋体" w:eastAsia="宋体" w:cs="宋体"/>
                <w:color w:val="auto"/>
                <w:highlight w:val="none"/>
                <w:u w:val="none"/>
                <w:lang w:val="en-US" w:eastAsia="zh-CN"/>
              </w:rPr>
              <w:t xml:space="preserve">+</w:t>
            </w:r>
            <w:r>
              <w:rPr>
                <w:rFonts w:hint="eastAsia" w:ascii="宋体" w:hAnsi="宋体" w:eastAsia="宋体" w:cs="宋体"/>
                <w:color w:val="auto"/>
                <w:highlight w:val="none"/>
                <w:u w:val="none"/>
                <w:lang w:val="en-US" w:eastAsia="en-US"/>
              </w:rPr>
              <w:t xml:space="preserve">院内测评</w:t>
            </w:r>
            <w:r>
              <w:rPr>
                <w:rFonts w:hint="eastAsia" w:ascii="宋体" w:hAnsi="宋体" w:eastAsia="宋体" w:cs="宋体"/>
                <w:color w:val="auto"/>
                <w:highlight w:val="none"/>
                <w:u w:val="none"/>
                <w:lang w:val="en-US" w:eastAsia="zh-CN"/>
              </w:rPr>
              <w:t xml:space="preserve">      </w:t>
            </w:r>
            <w:r>
              <w:rPr>
                <w:rFonts w:hint="eastAsia" w:ascii="宋体" w:hAnsi="宋体" w:eastAsia="宋体" w:cs="宋体"/>
                <w:i w:val="0"/>
                <w:iCs w:val="0"/>
                <w:color w:val="auto"/>
                <w:sz w:val="18"/>
                <w:szCs w:val="18"/>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jc w:val="left"/>
        <w:spacing w:before="49"/>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61"/>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盐城市第一人民医院外包人员行为规范及考核细则（试行）</w:t>
      </w:r>
      <w:r/>
    </w:p>
    <w:p>
      <w:pPr>
        <w:pStyle w:val="761"/>
        <w:ind w:firstLine="1405"/>
        <w:jc w:val="both"/>
        <w:spacing w:before="152"/>
        <w:rPr>
          <w:rFonts w:hint="eastAsia" w:ascii="宋体" w:hAnsi="宋体" w:eastAsia="宋体" w:cs="宋体"/>
          <w:b/>
          <w:bCs/>
          <w:color w:val="auto"/>
          <w:highlight w:val="none"/>
        </w:rPr>
      </w:pPr>
      <w:r>
        <w:rPr>
          <w:rFonts w:hint="eastAsia" w:ascii="宋体" w:hAnsi="宋体" w:eastAsia="宋体" w:cs="宋体"/>
          <w:b/>
          <w:bCs/>
          <w:color w:val="auto"/>
          <w:highlight w:val="none"/>
        </w:rPr>
      </w:r>
      <w:r/>
    </w:p>
    <w:tbl>
      <w:tblPr>
        <w:tblStyle w:val="758"/>
        <w:tblW w:w="0" w:type="auto"/>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54"/>
        <w:gridCol w:w="2120"/>
        <w:gridCol w:w="6600"/>
      </w:tblGrid>
      <w:tr>
        <w:trPr>
          <w:trHeight w:val="556"/>
        </w:trPr>
        <w:tc>
          <w:tcPr>
            <w:tcW w:w="1154" w:type="dxa"/>
            <w:textDirection w:val="lrTb"/>
            <w:noWrap w:val="false"/>
          </w:tcPr>
          <w:p>
            <w:pPr>
              <w:pStyle w:val="963"/>
              <w:spacing w:before="105"/>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名称</w:t>
            </w:r>
            <w:r/>
          </w:p>
        </w:tc>
        <w:tc>
          <w:tcPr>
            <w:tcW w:w="2120" w:type="dxa"/>
            <w:textDirection w:val="lrTb"/>
            <w:noWrap w:val="false"/>
          </w:tcPr>
          <w:p>
            <w:pPr>
              <w:pStyle w:val="963"/>
              <w:ind w:left="0"/>
              <w:jc w:val="center"/>
              <w:spacing w:before="10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行为规范</w:t>
            </w:r>
            <w:r/>
          </w:p>
        </w:tc>
        <w:tc>
          <w:tcPr>
            <w:tcW w:w="6600" w:type="dxa"/>
            <w:textDirection w:val="lrTb"/>
            <w:noWrap w:val="false"/>
          </w:tcPr>
          <w:p>
            <w:pPr>
              <w:pStyle w:val="963"/>
              <w:ind w:left="2380" w:right="2369"/>
              <w:jc w:val="center"/>
              <w:spacing w:before="10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考核细则</w:t>
            </w:r>
            <w:r/>
          </w:p>
        </w:tc>
      </w:tr>
      <w:tr>
        <w:trPr>
          <w:trHeight w:val="3052"/>
        </w:trPr>
        <w:tc>
          <w:tcPr>
            <w:tcW w:w="115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作</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量</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任</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1、熟悉本职业务，工作积极，责任心强；</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2、认真履行岗位职责，严格遵照工作程序，圆满完成工作任务。</w:t>
            </w:r>
            <w:r/>
          </w:p>
        </w:tc>
        <w:tc>
          <w:tcPr>
            <w:tcW w:w="6600" w:type="dxa"/>
            <w:textDirection w:val="lrTb"/>
            <w:noWrap w:val="false"/>
          </w:tcPr>
          <w:p>
            <w:pPr>
              <w:pStyle w:val="963"/>
              <w:ind w:right="95" w:hanging="240"/>
              <w:spacing w:before="62"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9"/>
                <w:sz w:val="22"/>
                <w:szCs w:val="22"/>
                <w:highlight w:val="none"/>
              </w:rPr>
              <w:t xml:space="preserve">①工作责任心不强，发生责任差错并造成严重后果的，作</w:t>
            </w:r>
            <w:r>
              <w:rPr>
                <w:rFonts w:hint="eastAsia" w:ascii="宋体" w:hAnsi="宋体" w:eastAsia="宋体" w:cs="宋体"/>
                <w:color w:val="auto"/>
                <w:sz w:val="22"/>
                <w:szCs w:val="22"/>
                <w:highlight w:val="none"/>
              </w:rPr>
              <w:t xml:space="preserve">解除劳动合同处理；</w:t>
            </w:r>
            <w:r/>
          </w:p>
          <w:p>
            <w:pPr>
              <w:pStyle w:val="963"/>
              <w:ind w:right="97" w:hanging="240"/>
              <w:spacing w:before="3" w:line="26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②因直接责任事故造成公共财产或他人财产损失的，需做出赔偿，并作相应罚金；</w:t>
            </w:r>
            <w:r/>
          </w:p>
          <w:p>
            <w:pPr>
              <w:pStyle w:val="963"/>
              <w:ind w:right="1" w:hanging="240"/>
              <w:spacing w:line="266"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③不服从工作分配和调动指挥，无理取闹影响工作和社会秩序的，经批评教育无效的，视为严重违反规章制度，作解除劳动合同处理；</w:t>
            </w:r>
            <w:r/>
          </w:p>
          <w:p>
            <w:pPr>
              <w:pStyle w:val="963"/>
              <w:ind w:left="108"/>
              <w:spacing w:line="304"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④凡发现主管人员在考勤考核中弄虚作假，主管及考勤员</w:t>
            </w:r>
            <w:r/>
          </w:p>
          <w:p>
            <w:pPr>
              <w:pStyle w:val="963"/>
              <w:spacing w:before="3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当月不得享受考核奖。</w:t>
            </w:r>
            <w:r/>
          </w:p>
        </w:tc>
      </w:tr>
      <w:tr>
        <w:trPr>
          <w:trHeight w:val="3744"/>
        </w:trPr>
        <w:tc>
          <w:tcPr>
            <w:tcW w:w="115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劳</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动</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纪</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律</w:t>
            </w:r>
            <w:r/>
          </w:p>
        </w:tc>
        <w:tc>
          <w:tcPr>
            <w:tcW w:w="2120" w:type="dxa"/>
            <w:vAlign w:val="center"/>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1、遵守医院的规章制度和劳动纪律；团结协作；</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2、按时上下班，做好交接班，不迟到，不早退，不擅离岗位，不串岗、不干私活。</w:t>
            </w:r>
            <w:r/>
          </w:p>
        </w:tc>
        <w:tc>
          <w:tcPr>
            <w:tcW w:w="6600" w:type="dxa"/>
            <w:textDirection w:val="lrTb"/>
            <w:noWrap w:val="false"/>
          </w:tcPr>
          <w:p>
            <w:pPr>
              <w:pStyle w:val="963"/>
              <w:ind w:left="0"/>
              <w:spacing w:before="1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63"/>
              <w:ind w:right="95" w:hanging="240"/>
              <w:spacing w:line="266" w:lineRule="auto"/>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①每月迟到、早退、溜班、串岗一次警告处分，当月不得享受考核奖；两次严重警告处分，不得享受考核奖且扣发工龄工资；三次视为严重违反劳动纪律，作解除劳动</w:t>
            </w:r>
            <w:r>
              <w:rPr>
                <w:rFonts w:hint="eastAsia" w:ascii="宋体" w:hAnsi="宋体" w:eastAsia="宋体" w:cs="宋体"/>
                <w:color w:val="auto"/>
                <w:sz w:val="22"/>
                <w:szCs w:val="22"/>
                <w:highlight w:val="none"/>
              </w:rPr>
              <w:t xml:space="preserve">合同处理。</w:t>
            </w:r>
            <w:r/>
          </w:p>
          <w:p>
            <w:pPr>
              <w:pStyle w:val="963"/>
              <w:ind w:right="95" w:hanging="240"/>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7"/>
                <w:sz w:val="22"/>
                <w:szCs w:val="22"/>
                <w:highlight w:val="none"/>
              </w:rPr>
              <w:t xml:space="preserve">②无故旷工一天扣发当月工龄工资，旷工一天半扣发工龄</w:t>
            </w:r>
            <w:r>
              <w:rPr>
                <w:rFonts w:hint="eastAsia" w:ascii="宋体" w:hAnsi="宋体" w:eastAsia="宋体" w:cs="宋体"/>
                <w:color w:val="auto"/>
                <w:spacing w:val="-6"/>
                <w:sz w:val="22"/>
                <w:szCs w:val="22"/>
                <w:highlight w:val="none"/>
              </w:rPr>
              <w:t xml:space="preserve">工资且不得享受考核奖，连续旷工两天</w:t>
            </w:r>
            <w:r>
              <w:rPr>
                <w:rFonts w:hint="eastAsia" w:ascii="宋体" w:hAnsi="宋体" w:eastAsia="宋体" w:cs="宋体"/>
                <w:color w:val="auto"/>
                <w:sz w:val="22"/>
                <w:szCs w:val="22"/>
                <w:highlight w:val="none"/>
              </w:rPr>
              <w:t xml:space="preserve">（含两天</w:t>
            </w:r>
            <w:r>
              <w:rPr>
                <w:rFonts w:hint="eastAsia" w:ascii="宋体" w:hAnsi="宋体" w:eastAsia="宋体" w:cs="宋体"/>
                <w:color w:val="auto"/>
                <w:spacing w:val="-32"/>
                <w:sz w:val="22"/>
                <w:szCs w:val="22"/>
                <w:highlight w:val="none"/>
              </w:rPr>
              <w:t xml:space="preserve">）</w:t>
            </w:r>
            <w:r>
              <w:rPr>
                <w:rFonts w:hint="eastAsia" w:ascii="宋体" w:hAnsi="宋体" w:eastAsia="宋体" w:cs="宋体"/>
                <w:color w:val="auto"/>
                <w:spacing w:val="-8"/>
                <w:sz w:val="22"/>
                <w:szCs w:val="22"/>
                <w:highlight w:val="none"/>
              </w:rPr>
              <w:t xml:space="preserve">以上</w:t>
            </w:r>
            <w:r>
              <w:rPr>
                <w:rFonts w:hint="eastAsia" w:ascii="宋体" w:hAnsi="宋体" w:eastAsia="宋体" w:cs="宋体"/>
                <w:color w:val="auto"/>
                <w:sz w:val="22"/>
                <w:szCs w:val="22"/>
                <w:highlight w:val="none"/>
              </w:rPr>
              <w:t xml:space="preserve">者，视为严重违反劳动纪律，作解除劳动合同处理：</w:t>
            </w:r>
            <w:r/>
          </w:p>
          <w:p>
            <w:pPr>
              <w:pStyle w:val="963"/>
              <w:ind w:right="-29" w:hanging="240"/>
              <w:spacing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③工作时间做私活</w:t>
            </w:r>
            <w:r>
              <w:rPr>
                <w:rFonts w:hint="eastAsia" w:ascii="宋体" w:hAnsi="宋体" w:eastAsia="宋体" w:cs="宋体"/>
                <w:color w:val="auto"/>
                <w:sz w:val="22"/>
                <w:szCs w:val="22"/>
                <w:highlight w:val="none"/>
              </w:rPr>
              <w:t xml:space="preserve">（</w:t>
            </w:r>
            <w:r>
              <w:rPr>
                <w:rFonts w:hint="eastAsia" w:ascii="宋体" w:hAnsi="宋体" w:eastAsia="宋体" w:cs="宋体"/>
                <w:color w:val="auto"/>
                <w:spacing w:val="-9"/>
                <w:sz w:val="22"/>
                <w:szCs w:val="22"/>
                <w:highlight w:val="none"/>
              </w:rPr>
              <w:t xml:space="preserve">买菜、洗衣服、干私活、玩游戏等</w:t>
            </w:r>
            <w:r>
              <w:rPr>
                <w:rFonts w:hint="eastAsia" w:ascii="宋体" w:hAnsi="宋体" w:eastAsia="宋体" w:cs="宋体"/>
                <w:color w:val="auto"/>
                <w:spacing w:val="-127"/>
                <w:sz w:val="22"/>
                <w:szCs w:val="22"/>
                <w:highlight w:val="none"/>
              </w:rPr>
              <w:t xml:space="preserve">）</w:t>
            </w:r>
            <w:r>
              <w:rPr>
                <w:rFonts w:hint="eastAsia" w:ascii="宋体" w:hAnsi="宋体" w:eastAsia="宋体" w:cs="宋体"/>
                <w:color w:val="auto"/>
                <w:spacing w:val="-7"/>
                <w:sz w:val="22"/>
                <w:szCs w:val="22"/>
                <w:highlight w:val="none"/>
              </w:rPr>
              <w:t xml:space="preserve">，</w:t>
            </w:r>
            <w:r>
              <w:rPr>
                <w:rFonts w:hint="eastAsia" w:ascii="宋体" w:hAnsi="宋体" w:eastAsia="宋体" w:cs="宋体"/>
                <w:color w:val="auto"/>
                <w:sz w:val="22"/>
                <w:szCs w:val="22"/>
                <w:highlight w:val="none"/>
              </w:rPr>
              <w:t xml:space="preserve">未经同意擅自调班一经发现，均按旷工一天处理；</w:t>
            </w:r>
            <w:r/>
          </w:p>
          <w:p>
            <w:pPr>
              <w:pStyle w:val="963"/>
              <w:ind w:right="-29" w:hanging="240"/>
              <w:spacing w:before="3"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xml:space="preserve">④破坏团结，闹无原则纠纷、争吵、打架或无中生有诬陷</w:t>
            </w:r>
            <w:r>
              <w:rPr>
                <w:rFonts w:hint="eastAsia" w:ascii="宋体" w:hAnsi="宋体" w:eastAsia="宋体" w:cs="宋体"/>
                <w:color w:val="auto"/>
                <w:spacing w:val="-17"/>
                <w:sz w:val="22"/>
                <w:szCs w:val="22"/>
                <w:highlight w:val="none"/>
              </w:rPr>
              <w:t xml:space="preserve">诽谤他人，经批评教育无效的，视为严重违反劳动纪律，</w:t>
            </w:r>
            <w:r>
              <w:rPr>
                <w:rFonts w:hint="eastAsia" w:ascii="宋体" w:hAnsi="宋体" w:eastAsia="宋体" w:cs="宋体"/>
                <w:color w:val="auto"/>
                <w:sz w:val="22"/>
                <w:szCs w:val="22"/>
                <w:highlight w:val="none"/>
              </w:rPr>
              <w:t xml:space="preserve">作解除劳动合同处理。</w:t>
            </w:r>
            <w:r/>
          </w:p>
        </w:tc>
      </w:tr>
      <w:tr>
        <w:trPr>
          <w:trHeight w:val="3653"/>
        </w:trPr>
        <w:tc>
          <w:tcPr>
            <w:tcW w:w="115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文</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务</w:t>
            </w:r>
            <w:r/>
          </w:p>
        </w:tc>
        <w:tc>
          <w:tcPr>
            <w:tcW w:w="21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1、文明服务，礼貌待患，杜绝生、冷、硬、顶现象；</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2、上岗工作要着装整齐，佩戴胸牌，仪表庄重；</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3、不接受病人的钱物，杜绝以医谋私、吃、拿、卡、要、索贿受贿行为。</w:t>
            </w:r>
            <w:r/>
          </w:p>
        </w:tc>
        <w:tc>
          <w:tcPr>
            <w:tcW w:w="6600" w:type="dxa"/>
            <w:textDirection w:val="lrTb"/>
            <w:noWrap w:val="false"/>
          </w:tcPr>
          <w:p>
            <w:pPr>
              <w:pStyle w:val="963"/>
              <w:ind w:right="95" w:hanging="240"/>
              <w:spacing w:before="73" w:line="264" w:lineRule="auto"/>
              <w:rPr>
                <w:rFonts w:hint="eastAsia" w:ascii="宋体" w:hAnsi="宋体" w:eastAsia="宋体" w:cs="宋体"/>
                <w:color w:val="auto"/>
                <w:sz w:val="22"/>
                <w:szCs w:val="22"/>
                <w:highlight w:val="none"/>
              </w:rPr>
            </w:pPr>
            <w:r>
              <w:rPr>
                <w:rFonts w:hint="eastAsia" w:ascii="宋体" w:hAnsi="宋体" w:eastAsia="宋体" w:cs="宋体"/>
                <w:color w:val="auto"/>
                <w:spacing w:val="-8"/>
                <w:sz w:val="22"/>
                <w:szCs w:val="22"/>
                <w:highlight w:val="none"/>
              </w:rPr>
              <w:t xml:space="preserve">①凡对病人服务态度不好，与病人发生争吵、打架的，视</w:t>
            </w:r>
            <w:r>
              <w:rPr>
                <w:rFonts w:hint="eastAsia" w:ascii="宋体" w:hAnsi="宋体" w:eastAsia="宋体" w:cs="宋体"/>
                <w:color w:val="auto"/>
                <w:sz w:val="22"/>
                <w:szCs w:val="22"/>
                <w:highlight w:val="none"/>
              </w:rPr>
              <w:t xml:space="preserve">为严重违反劳动纪律，作解除劳动合同处理；</w:t>
            </w:r>
            <w:r/>
          </w:p>
          <w:p>
            <w:pPr>
              <w:pStyle w:val="963"/>
              <w:ind w:left="108"/>
              <w:spacing w:before="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②上班时间必须服装整洁、挂牌上岗，文明服务；</w:t>
            </w:r>
            <w:r/>
          </w:p>
          <w:p>
            <w:pPr>
              <w:pStyle w:val="963"/>
              <w:ind w:right="95" w:hanging="240"/>
              <w:spacing w:before="33" w:line="266" w:lineRule="auto"/>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③对暗示、索要或变相索要病人钱物，向病人推销物品从</w:t>
            </w:r>
            <w:r>
              <w:rPr>
                <w:rFonts w:hint="eastAsia" w:ascii="宋体" w:hAnsi="宋体" w:eastAsia="宋体" w:cs="宋体"/>
                <w:color w:val="auto"/>
                <w:spacing w:val="-12"/>
                <w:sz w:val="22"/>
                <w:szCs w:val="22"/>
                <w:highlight w:val="none"/>
              </w:rPr>
              <w:t xml:space="preserve">中获利的，一经查实，没收全部所得，并扣发工龄工资</w:t>
            </w:r>
            <w:r>
              <w:rPr>
                <w:rFonts w:hint="eastAsia" w:ascii="宋体" w:hAnsi="宋体" w:eastAsia="宋体" w:cs="宋体"/>
                <w:color w:val="auto"/>
                <w:spacing w:val="-10"/>
                <w:sz w:val="22"/>
                <w:szCs w:val="22"/>
                <w:highlight w:val="none"/>
              </w:rPr>
              <w:t xml:space="preserve">且不得享受考核奖，经批评教育无效的，视为严重违反</w:t>
            </w:r>
            <w:r>
              <w:rPr>
                <w:rFonts w:hint="eastAsia" w:ascii="宋体" w:hAnsi="宋体" w:eastAsia="宋体" w:cs="宋体"/>
                <w:color w:val="auto"/>
                <w:sz w:val="22"/>
                <w:szCs w:val="22"/>
                <w:highlight w:val="none"/>
              </w:rPr>
              <w:t xml:space="preserve">劳动纪律，作解除劳动合同处理；</w:t>
            </w:r>
            <w:r/>
          </w:p>
          <w:p>
            <w:pPr>
              <w:pStyle w:val="963"/>
              <w:ind w:right="95" w:hanging="240"/>
              <w:spacing w:line="266" w:lineRule="auto"/>
              <w:rPr>
                <w:rFonts w:hint="eastAsia" w:ascii="宋体" w:hAnsi="宋体" w:eastAsia="宋体" w:cs="宋体"/>
                <w:color w:val="auto"/>
                <w:sz w:val="22"/>
                <w:szCs w:val="22"/>
                <w:highlight w:val="none"/>
              </w:rPr>
            </w:pPr>
            <w:r>
              <w:rPr>
                <w:rFonts w:hint="eastAsia" w:ascii="宋体" w:hAnsi="宋体" w:eastAsia="宋体" w:cs="宋体"/>
                <w:color w:val="auto"/>
                <w:spacing w:val="-11"/>
                <w:sz w:val="22"/>
                <w:szCs w:val="22"/>
                <w:highlight w:val="none"/>
              </w:rPr>
              <w:t xml:space="preserve">④玩忽职守，工作不负责任，浪费材料和能源，造成经济损失的，视为严重违反劳动纪律，需赔偿全部损失，作</w:t>
            </w:r>
            <w:r>
              <w:rPr>
                <w:rFonts w:hint="eastAsia" w:ascii="宋体" w:hAnsi="宋体" w:eastAsia="宋体" w:cs="宋体"/>
                <w:color w:val="auto"/>
                <w:sz w:val="22"/>
                <w:szCs w:val="22"/>
                <w:highlight w:val="none"/>
              </w:rPr>
              <w:t xml:space="preserve">解除劳动合同处理；</w:t>
            </w:r>
            <w:r/>
          </w:p>
          <w:p>
            <w:pPr>
              <w:pStyle w:val="963"/>
              <w:ind w:right="-29" w:hanging="240"/>
              <w:spacing w:line="266" w:lineRule="auto"/>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 xml:space="preserve">⑤私自变卖医院设备、医疗废物等情节严重的，一经查实，</w:t>
            </w:r>
            <w:r>
              <w:rPr>
                <w:rFonts w:hint="eastAsia" w:ascii="宋体" w:hAnsi="宋体" w:eastAsia="宋体" w:cs="宋体"/>
                <w:color w:val="auto"/>
                <w:spacing w:val="-8"/>
                <w:sz w:val="22"/>
                <w:szCs w:val="22"/>
                <w:highlight w:val="none"/>
              </w:rPr>
              <w:t xml:space="preserve">视为严重违反劳动纪律，作解除劳动合同处理，并追究</w:t>
            </w:r>
            <w:r>
              <w:rPr>
                <w:rFonts w:hint="eastAsia" w:ascii="宋体" w:hAnsi="宋体" w:eastAsia="宋体" w:cs="宋体"/>
                <w:color w:val="auto"/>
                <w:sz w:val="22"/>
                <w:szCs w:val="22"/>
                <w:highlight w:val="none"/>
              </w:rPr>
              <w:t xml:space="preserve">刑事责任。</w:t>
            </w:r>
            <w:r/>
          </w:p>
        </w:tc>
      </w:tr>
    </w:tbl>
    <w:p>
      <w:pPr>
        <w:pStyle w:val="76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tbl>
      <w:tblPr>
        <w:tblStyle w:val="758"/>
        <w:tblW w:w="0" w:type="auto"/>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1003"/>
        <w:gridCol w:w="590"/>
        <w:gridCol w:w="5649"/>
        <w:gridCol w:w="786"/>
        <w:gridCol w:w="572"/>
        <w:gridCol w:w="980"/>
      </w:tblGrid>
      <w:tr>
        <w:trPr>
          <w:trHeight w:val="82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pStyle w:val="761"/>
              <w:jc w:val="center"/>
              <w:rPr>
                <w:rFonts w:hint="eastAsia" w:ascii="宋体" w:hAnsi="宋体" w:eastAsia="宋体" w:cs="宋体"/>
                <w:b/>
                <w:color w:val="auto"/>
                <w:sz w:val="32"/>
                <w:szCs w:val="32"/>
                <w:highlight w:val="none"/>
              </w:rPr>
            </w:pPr>
            <w:r>
              <w:rPr>
                <w:rFonts w:hint="eastAsia" w:ascii="宋体" w:hAnsi="宋体" w:eastAsia="宋体" w:cs="宋体"/>
                <w:b/>
                <w:color w:val="auto"/>
                <w:sz w:val="28"/>
                <w:szCs w:val="28"/>
                <w:highlight w:val="none"/>
                <w:lang w:val="en-US" w:eastAsia="zh-CN"/>
              </w:rPr>
              <w:t xml:space="preserve">陪检配送（含医疗垃圾房）服务考核细则</w:t>
            </w:r>
            <w:r/>
          </w:p>
        </w:tc>
      </w:tr>
      <w:tr>
        <w:trPr>
          <w:trHeight w:val="483"/>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9580" w:type="dxa"/>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restart"/>
            <w:textDirection w:val="lrTb"/>
            <w:noWrap w:val="false"/>
          </w:tcPr>
          <w:p>
            <w:pPr>
              <w:ind w:left="-619" w:firstLine="618"/>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检查中存</w:t>
            </w:r>
            <w:r/>
          </w:p>
          <w:p>
            <w:pPr>
              <w:ind w:left="-619" w:firstLine="618"/>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在问题</w:t>
            </w:r>
            <w:r/>
          </w:p>
        </w:tc>
      </w:tr>
      <w:tr>
        <w:trPr>
          <w:trHeight w:val="3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6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接到通知后5-10分钟到达病房床头，陪检前确认病人情况，不得出现差错。共6分，一次不符合扣2分。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医疗垃圾及时清运，清洁无杂物。共4分，一次不符合扣1分。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8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有完善的规章制度、岗位职责及工作流程，并上墙。共3分，</w:t>
            </w:r>
            <w:r>
              <w:rPr>
                <w:rFonts w:hint="eastAsia" w:ascii="宋体" w:hAnsi="宋体" w:eastAsia="宋体" w:cs="宋体"/>
                <w:color w:val="auto"/>
                <w:sz w:val="22"/>
                <w:szCs w:val="22"/>
                <w:highlight w:val="none"/>
                <w:lang w:eastAsia="zh-CN"/>
              </w:rPr>
              <w:t xml:space="preserve">医疗垃圾及非医疗垃圾收集与处置需符合规范要求；</w:t>
            </w:r>
            <w:r>
              <w:rPr>
                <w:rFonts w:hint="eastAsia" w:ascii="宋体" w:hAnsi="宋体" w:eastAsia="宋体" w:cs="宋体"/>
                <w:color w:val="auto"/>
                <w:sz w:val="22"/>
                <w:szCs w:val="22"/>
                <w:highlight w:val="none"/>
              </w:rPr>
              <w:t xml:space="preserve">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相关人员熟悉岗位、规章制度，并定期进行抽查，共6分，一次不符合扣2分。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建立人员目录、资产目录，并定期组织检查更新。共4分，一项不符合扣2分。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有完善的检查制度，有定期组织日、周、月度检查的计划，并做好整改工作。共6分，一项不符合扣2分。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572"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7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有完善的例会制度，有定期召开例会的计划并实施。共6分，一次不符合扣2分。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80" w:type="dxa"/>
            <w:vAlign w:val="bottom"/>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74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r>
      <w:tr>
        <w:trPr>
          <w:trHeight w:val="6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做好安全防护工作，有相应安全设备、措施</w:t>
            </w:r>
            <w:r>
              <w:rPr>
                <w:rFonts w:hint="eastAsia" w:ascii="宋体" w:hAnsi="宋体" w:eastAsia="宋体" w:cs="宋体"/>
                <w:color w:val="auto"/>
                <w:sz w:val="22"/>
                <w:szCs w:val="22"/>
                <w:highlight w:val="none"/>
              </w:rPr>
              <w:t xml:space="preserve">，并定期进行抽查，共4分，一次不符合扣2分。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2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做好服务满意度工作，经查实投诉问题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一次</w:t>
            </w:r>
            <w:r>
              <w:rPr>
                <w:rFonts w:hint="eastAsia" w:ascii="宋体" w:hAnsi="宋体" w:eastAsia="宋体" w:cs="宋体"/>
                <w:color w:val="auto"/>
                <w:sz w:val="22"/>
                <w:szCs w:val="22"/>
                <w:highlight w:val="none"/>
              </w:rPr>
              <w:t xml:space="preserve">扣</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6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03"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90" w:type="dxa"/>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649" w:type="dxa"/>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6" w:type="dxa"/>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2" w:type="dxa"/>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0" w:type="dxa"/>
            <w:vAlign w:val="bottom"/>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53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2"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rHeight w:val="294"/>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580" w:type="dxa"/>
            <w:vAlign w:val="center"/>
            <w:textDirection w:val="lrTb"/>
            <w:noWrap w:val="false"/>
          </w:tcPr>
          <w:p>
            <w:pPr>
              <w:jc w:val="lef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tc>
      </w:tr>
      <w:tr>
        <w:trPr>
          <w:trHeight w:val="469"/>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59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649"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2"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4"/>
        <w:gridCol w:w="4029"/>
        <w:gridCol w:w="2096"/>
        <w:gridCol w:w="707"/>
        <w:gridCol w:w="708"/>
        <w:gridCol w:w="822"/>
      </w:tblGrid>
      <w:tr>
        <w:trPr>
          <w:jc w:val="center"/>
          <w:trHeight w:val="628"/>
        </w:trPr>
        <w:tc>
          <w:tcPr>
            <w:tcW w:w="127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细则要求</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扣分标准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扣分内容</w:t>
            </w:r>
            <w:r/>
          </w:p>
        </w:tc>
        <w:tc>
          <w:tcPr>
            <w:tcW w:w="82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实际</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jc w:val="center"/>
          <w:trHeight w:val="935"/>
        </w:trPr>
        <w:tc>
          <w:tcPr>
            <w:tcBorders>
              <w:bottom w:val="none" w:color="000000" w:sz="4" w:space="0"/>
            </w:tcBorders>
            <w:tcW w:w="1274"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（本项可以倒扣分）</w:t>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按要求报送管理人员双休节假日值班表、员工考勤表、工作计划、工作总结、培训记录、社保缴纳等</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没有及时报送，每少一项扣0.5分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对于检查发现的问题、采购人建议及时做出整改</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整改不及时一次扣0.2分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必须按院方认可的人数安排工作人员</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少1人扣0.5分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统一服装，文明、主动服务，佩戴胸牌上岗，在岗在位，不得串岗</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40"/>
        </w:trPr>
        <w:tc>
          <w:tcPr>
            <w:tcBorders>
              <w:top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集中更衣、集中就餐、集中洗涤</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发现1人次扣0.2分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bottom w:val="none" w:color="000000" w:sz="4" w:space="0"/>
            </w:tcBorders>
            <w:tcW w:w="1274"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保洁</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（70分）</w:t>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PVC、大理石等地面干净、有光泽，床、床头柜底下等隐蔽区域打扫到位，边角没有污渍</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发现一处扣0.3分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墙壁、墙砖没有浮灰、蜘蛛网，标识标牌干净无浮灰，内外玻璃洁净光亮，窗槽没有烟灰等杂物</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天花板、出风口干净，没有蛛网、没有黑斑、霉点</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设备带、桌面、床、床头柜、台面等各种器具表面干净整洁，没有灰尘</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935"/>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水池、龙头、马桶、淋浴房等擦拭洁净光亮，没有黑斑、霉点，垃圾桶（篓）及时更换，没有外溢</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发现一处扣0.5分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微波炉、开水炉擦拭干净，没有水渍、饭渍</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不干净扣0.2分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治疗车、抢救车等及时消毒、擦拭干净</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4"/>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污洗间摆放整洁、有条理，拖把、一床一巾摆放符合规范，没有私人物品</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623"/>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楼梯间干净整洁，扶手没有浮灰，地面没有烟头</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47"/>
        </w:trPr>
        <w:tc>
          <w:tcPr>
            <w:tcBorders>
              <w:top w:val="none" w:color="000000" w:sz="4" w:space="0"/>
              <w:bottom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电梯门、轿厢内表面无灰尘、无污迹、无手印、洁净光亮。电梯厢地面无垃圾、纸屑、烟头、杂物等。风扇及时擦拭，没有灰尘。</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发现一处不干净扣0.2分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268"/>
        </w:trPr>
        <w:tc>
          <w:tcPr>
            <w:tcBorders>
              <w:top w:val="none" w:color="000000" w:sz="4" w:space="0"/>
            </w:tcBorders>
            <w:tcW w:w="1274"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室外路灯、指示牌等公共设施干净、不倾斜、没有破损，正常工作</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发现1处扣0.5分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2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vanish/>
          <w:color w:val="auto"/>
          <w:highlight w:val="none"/>
        </w:rPr>
      </w:pPr>
      <w:r>
        <w:rPr>
          <w:rFonts w:hint="eastAsia" w:ascii="宋体" w:hAnsi="宋体" w:eastAsia="宋体" w:cs="宋体"/>
          <w:vanish/>
          <w:color w:val="auto"/>
          <w:highlight w:val="none"/>
        </w:rPr>
      </w:r>
      <w:r/>
    </w:p>
    <w:tbl>
      <w:tblPr>
        <w:tblStyle w:val="758"/>
        <w:tblpPr w:horzAnchor="page" w:tblpX="1155" w:vertAnchor="text" w:tblpY="3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1"/>
        <w:gridCol w:w="4029"/>
        <w:gridCol w:w="2096"/>
        <w:gridCol w:w="707"/>
        <w:gridCol w:w="708"/>
        <w:gridCol w:w="876"/>
      </w:tblGrid>
      <w:tr>
        <w:trPr>
          <w:trHeight w:val="937"/>
        </w:trPr>
        <w:tc>
          <w:tcPr>
            <w:tcBorders>
              <w:bottom w:val="none" w:color="000000" w:sz="4" w:space="0"/>
            </w:tcBorders>
            <w:tcW w:w="1211" w:type="dxa"/>
            <w:vAlign w:val="center"/>
            <w:vMerge w:val="restart"/>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室外路面无垃圾、杂物、积水等，绿化带、花盆内无杂草、枯枝、烟头、塑料袋等杂物</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发现1处扣0.3分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室内外（含楼顶、平台等）排水通畅，排水沟内没有烟头、废纸等杂物</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发现1处扣1分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bottom w:val="none" w:color="000000" w:sz="4" w:space="0"/>
            </w:tcBorders>
            <w:tcW w:w="1211"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司梯服务</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（15分）</w:t>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及时报修，记录准确</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发现1例扣1分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339"/>
        </w:trPr>
        <w:tc>
          <w:tcPr>
            <w:tcBorders>
              <w:top w:val="none" w:color="000000" w:sz="4" w:space="0"/>
              <w:bottom w:val="none" w:color="000000" w:sz="4" w:space="0"/>
            </w:tcBorders>
            <w:tcW w:w="1211"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仪容整洁，文明用语</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1例不及时扣1分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7"/>
        </w:trPr>
        <w:tc>
          <w:tcPr>
            <w:tcBorders>
              <w:top w:val="none" w:color="000000" w:sz="4" w:space="0"/>
            </w:tcBorders>
            <w:tcW w:w="1211" w:type="dxa"/>
            <w:vAlign w:val="center"/>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02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持证上岗，在岗在位，操作规范。设备整洁干净，没有浮灰</w:t>
            </w:r>
            <w:r/>
          </w:p>
        </w:tc>
        <w:tc>
          <w:tcPr>
            <w:tcW w:w="209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发现1例（处）不符合要求扣1分</w:t>
            </w:r>
            <w:r/>
          </w:p>
        </w:tc>
        <w:tc>
          <w:tcPr>
            <w:tcW w:w="70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70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7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58"/>
        <w:tblW w:w="0" w:type="auto"/>
        <w:tblInd w:w="-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687"/>
        <w:gridCol w:w="2666"/>
        <w:gridCol w:w="4588"/>
        <w:gridCol w:w="1127"/>
      </w:tblGrid>
      <w:tr>
        <w:trPr>
          <w:trHeight w:val="489"/>
        </w:trPr>
        <w:tc>
          <w:tcPr>
            <w:tcW w:w="7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r/>
          </w:p>
        </w:tc>
        <w:tc>
          <w:tcPr>
            <w:tcW w:w="68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分值</w:t>
            </w:r>
            <w:r/>
          </w:p>
        </w:tc>
        <w:tc>
          <w:tcPr>
            <w:tcW w:w="266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考核内容</w:t>
            </w:r>
            <w:r/>
          </w:p>
        </w:tc>
        <w:tc>
          <w:tcPr>
            <w:tcW w:w="45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考核标准</w:t>
            </w:r>
            <w:r/>
          </w:p>
        </w:tc>
        <w:tc>
          <w:tcPr>
            <w:tcW w:w="11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r>
      <w:tr>
        <w:trPr>
          <w:trHeight w:val="214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基本规范</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1、规范上岗，统一服装、佩戴工牌；2、按时上下班，不迟到、不早退；3、坚守岗位，不无故离开工作岗位；4、工作台面清洁、物品摆放整齐；5、上班不玩手机，不做与工作无关事宜。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1、在岗仪表不端庄，不戴胸卡，故意反戴或遮挡胸卡，不穿工作服，穿拖鞋，每次扣1分。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2上班迟到、早退，每次扣1分。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上班时间离岗、窜岗，睡觉，每次扣2分。4、工作台不放置不用的东西，物品摆放方向、区域统一，工作中注意保持工作区域整洁，一处扣1分。5、上班不玩电脑游戏、不玩手机，不带亲友值班，不扎堆聊天，不看杂志，一次扣2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637"/>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工作态度</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1、工作积极、认真、主动、细心，按时完成科室交给的工作任务。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2、及时接（打）电话、礼仪到位、使用规范文明用语</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3、对待医、患（或咨询者）态度友好、耐心解答、热心服务</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4、顾全大局，服务意识强，不冲撞医患人员</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1、工作不积极、不认真、不主动、不细致，</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2、电话铃声三声后不接听电话或故意不听接，不使用规范文明用语，每次扣1分。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3、对待医、患人员态度生、冷、硬，面对就诊问询没有微笑，解答问题不耐心，不热情，每次扣5分。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4、缺乏全局观念，与患者发生争吵，故意激怒患者造成投诉，每次扣5分。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5、发现问题，在能解决范围不主动解决，不汇报科室，每次5分。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8"/>
        </w:trPr>
        <w:tc>
          <w:tcPr>
            <w:tcW w:w="777" w:type="dxa"/>
            <w:vAlign w:val="center"/>
            <w:textDirection w:val="tbRlV"/>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岗位技能</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1、职责范围内专业知识、职业技能掌握熟练2、清楚岗位工作流程并能按要求完成本职工作3、突发事件应急处理能力</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1、科室培训后业务知识不清楚或记不全，辅助技能操作不熟练，每项扣2分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2、岗位工作流程不清楚，不能按科室要求完成本职工作，每项扣5分。</w:t>
            </w:r>
            <w:r/>
          </w:p>
          <w:p>
            <w:pPr>
              <w:ind w:left="0" w:firstLine="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3、遇突发事件或紧急情况，反应不灵敏，处理不得当，每次扣5分。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398"/>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服务质量和效率</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1、爱岗敬业，工作中发挥正能量；2、职责范围内或科室下达任务、指令和要求时能积极接受并执行3、工作中能按科室要求快</w:t>
            </w:r>
            <w:r>
              <w:rPr>
                <w:rFonts w:hint="eastAsia" w:ascii="宋体" w:hAnsi="宋体" w:eastAsia="宋体" w:cs="宋体"/>
                <w:color w:val="auto"/>
                <w:sz w:val="22"/>
                <w:szCs w:val="22"/>
                <w:highlight w:val="none"/>
              </w:rPr>
              <w:t xml:space="preserve">速</w:t>
            </w:r>
            <w:r>
              <w:rPr>
                <w:rFonts w:hint="eastAsia" w:ascii="宋体" w:hAnsi="宋体" w:eastAsia="宋体" w:cs="宋体"/>
                <w:color w:val="auto"/>
                <w:sz w:val="22"/>
                <w:szCs w:val="22"/>
                <w:highlight w:val="none"/>
              </w:rPr>
              <w:t xml:space="preserve">、准备、无误完成本职工作；4、清晰、准确描述各种事件、汇报和交接</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5、与医护人员合作友好，不敷衍、不推诿.</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不尊重岗位，不发正能量，每次扣1分；2、职责范围内不能完成科室安排的工作任务，对待提出的工作要求不能积极接受和服从，每次扣5分；3、在规定的工作时间内不能及时完成当班长工作及完成后工作不达标，每次扣5分；4、对科室发现的意外事件不能清晰、准确描述，汇报，交接每次扣2分。5、与科室医护人员不能友好配合工作，存在敷衍、推诿，每次扣3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901"/>
        </w:trPr>
        <w:tc>
          <w:tcPr>
            <w:tcW w:w="777" w:type="dxa"/>
            <w:vAlign w:val="center"/>
            <w:textDirection w:val="tbRlV"/>
            <w:noWrap w:val="false"/>
          </w:tcPr>
          <w:p>
            <w:pPr>
              <w:ind w:left="0" w:firstLine="44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培训与学习</w:t>
            </w:r>
            <w:r/>
          </w:p>
        </w:tc>
        <w:tc>
          <w:tcPr>
            <w:tcW w:w="68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10分</w:t>
            </w:r>
            <w:r/>
          </w:p>
        </w:tc>
        <w:tc>
          <w:tcPr>
            <w:tcW w:w="2666"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1、积极参加科室内组织的各类业务学习；2、积极参加科室召开的相关会议主，认真落实科室会议要求；</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3、积极参与科室参观、</w:t>
            </w:r>
            <w:r>
              <w:rPr>
                <w:rFonts w:hint="eastAsia" w:ascii="宋体" w:hAnsi="宋体" w:eastAsia="宋体" w:cs="宋体"/>
                <w:color w:val="auto"/>
                <w:sz w:val="22"/>
                <w:szCs w:val="22"/>
                <w:highlight w:val="none"/>
              </w:rPr>
              <w:t xml:space="preserve">巡</w:t>
            </w:r>
            <w:r>
              <w:rPr>
                <w:rFonts w:hint="eastAsia" w:ascii="宋体" w:hAnsi="宋体" w:eastAsia="宋体" w:cs="宋体"/>
                <w:color w:val="auto"/>
                <w:sz w:val="22"/>
                <w:szCs w:val="22"/>
                <w:highlight w:val="none"/>
              </w:rPr>
              <w:t xml:space="preserve">查和开展</w:t>
            </w:r>
            <w:r>
              <w:rPr>
                <w:rFonts w:hint="eastAsia" w:ascii="宋体" w:hAnsi="宋体" w:eastAsia="宋体" w:cs="宋体"/>
                <w:color w:val="auto"/>
                <w:spacing w:val="-1"/>
                <w:sz w:val="22"/>
                <w:szCs w:val="22"/>
                <w:highlight w:val="none"/>
              </w:rPr>
              <w:t xml:space="preserve">满意度调查接待工作。</w:t>
            </w:r>
            <w:r/>
          </w:p>
        </w:tc>
        <w:tc>
          <w:tcPr>
            <w:tcW w:w="4588"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1、不积极参加科室业务学习，每次扣2次；2、不参加科室例会，不落实科室会议要求，每次扣2分；</w:t>
            </w:r>
            <w:r/>
          </w:p>
          <w:p>
            <w:pPr>
              <w:ind w:lef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3、不积极参与科室接待迎检、参观和相关满意度调查工作，每次扣5分。</w:t>
            </w:r>
            <w:r/>
          </w:p>
        </w:tc>
        <w:tc>
          <w:tcPr>
            <w:tcW w:w="1127" w:type="dxa"/>
            <w:vAlign w:val="center"/>
            <w:textDirection w:val="lrTb"/>
            <w:noWrap w:val="false"/>
          </w:tcPr>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60"/>
        <w:ind w:firstLine="440"/>
        <w:rPr>
          <w:rFonts w:hint="eastAsia" w:ascii="宋体" w:hAnsi="宋体" w:eastAsia="宋体" w:cs="宋体"/>
          <w:color w:val="auto"/>
          <w:sz w:val="22"/>
          <w:szCs w:val="22"/>
          <w:highlight w:val="none"/>
          <w:u w:val="none"/>
          <w:lang w:val="en-US" w:eastAsia="zh-CN"/>
        </w:rPr>
      </w:pPr>
      <w:r>
        <w:rPr>
          <w:rFonts w:hint="eastAsia" w:ascii="宋体" w:hAnsi="宋体" w:eastAsia="宋体" w:cs="宋体"/>
          <w:color w:val="auto"/>
          <w:sz w:val="22"/>
          <w:szCs w:val="22"/>
          <w:highlight w:val="none"/>
          <w:u w:val="none"/>
          <w:lang w:val="en-US" w:eastAsia="zh-CN"/>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971"/>
        <w:jc w:val="center"/>
        <w:spacing w:beforeAutospacing="0" w:afterAutospacing="0"/>
        <w:rPr>
          <w:rFonts w:hint="eastAsia" w:ascii="宋体" w:hAnsi="宋体" w:eastAsia="宋体" w:cs="宋体"/>
          <w:color w:val="auto"/>
          <w:highlight w:val="none"/>
        </w:rPr>
        <w:outlineLvl w:val="0"/>
      </w:pPr>
      <w:r/>
      <w:bookmarkStart w:id="16" w:name="_Toc28340"/>
      <w:r>
        <w:rPr>
          <w:rFonts w:hint="eastAsia" w:ascii="宋体" w:hAnsi="宋体" w:eastAsia="宋体" w:cs="宋体"/>
          <w:color w:val="auto"/>
          <w:sz w:val="44"/>
          <w:szCs w:val="44"/>
          <w:highlight w:val="none"/>
        </w:rPr>
        <w:t xml:space="preserve">第五章 评标方法与评标标准</w:t>
      </w:r>
      <w:bookmarkEnd w:id="16"/>
      <w:r/>
      <w:r/>
    </w:p>
    <w:p>
      <w:pPr>
        <w:ind w:firstLine="482"/>
        <w:keepLines w:val="0"/>
        <w:keepNext w:val="0"/>
        <w:pageBreakBefore w:val="0"/>
        <w:spacing w:line="520" w:lineRule="exact"/>
        <w:widowControl/>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一、定标原则</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highlight w:val="none"/>
          <w:lang w:val="en-US" w:eastAsia="zh-CN"/>
        </w:rPr>
        <w:t xml:space="preserve">并列</w:t>
      </w:r>
      <w:r>
        <w:rPr>
          <w:rFonts w:hint="eastAsia" w:ascii="宋体" w:hAnsi="宋体" w:eastAsia="宋体" w:cs="宋体"/>
          <w:color w:val="auto"/>
          <w:sz w:val="24"/>
          <w:highlight w:val="none"/>
        </w:rPr>
        <w:t xml:space="preserve">。投标文件满足招标文件全部实质性要求，且按照评审因素的量化指标评审得分最高的投标人为排名第一的中标候选人，本项目选取1名中标候选人。</w:t>
      </w:r>
      <w:r/>
    </w:p>
    <w:p>
      <w:pPr>
        <w:ind w:firstLine="482"/>
        <w:keepLines w:val="0"/>
        <w:keepNext w:val="0"/>
        <w:pageBreakBefore w:val="0"/>
        <w:spacing w:line="520" w:lineRule="exact"/>
        <w:widowControl/>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政府采购政策功能落实</w:t>
      </w:r>
      <w:r/>
    </w:p>
    <w:p>
      <w:pPr>
        <w:ind w:firstLine="482"/>
        <w:keepLines w:val="0"/>
        <w:keepNext w:val="0"/>
        <w:pageBreakBefore w:val="0"/>
        <w:spacing w:line="520" w:lineRule="exact"/>
        <w:widowControl/>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1、</w:t>
      </w:r>
      <w:r>
        <w:rPr>
          <w:rFonts w:hint="eastAsia" w:ascii="宋体" w:hAnsi="宋体" w:eastAsia="宋体" w:cs="宋体"/>
          <w:b/>
          <w:bCs/>
          <w:color w:val="auto"/>
          <w:sz w:val="24"/>
          <w:szCs w:val="20"/>
          <w:highlight w:val="none"/>
          <w:lang w:val="en-US" w:eastAsia="zh-CN"/>
        </w:rPr>
        <w:t xml:space="preserve">中</w:t>
      </w:r>
      <w:r>
        <w:rPr>
          <w:rFonts w:hint="eastAsia" w:ascii="宋体" w:hAnsi="宋体" w:eastAsia="宋体" w:cs="宋体"/>
          <w:b/>
          <w:bCs/>
          <w:color w:val="auto"/>
          <w:sz w:val="24"/>
          <w:szCs w:val="20"/>
          <w:highlight w:val="none"/>
          <w:lang w:val="zh-CN"/>
        </w:rPr>
        <w:t xml:space="preserve">小微型企业</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（2）供应商需按照采购文件的要求提供相应的《</w:t>
      </w:r>
      <w:r>
        <w:rPr>
          <w:rFonts w:hint="eastAsia" w:ascii="宋体" w:hAnsi="宋体" w:eastAsia="宋体" w:cs="宋体"/>
          <w:color w:val="auto"/>
          <w:sz w:val="24"/>
          <w:szCs w:val="20"/>
          <w:highlight w:val="none"/>
        </w:rPr>
        <w:t xml:space="preserve">中</w:t>
      </w:r>
      <w:r>
        <w:rPr>
          <w:rFonts w:hint="eastAsia" w:ascii="宋体" w:hAnsi="宋体" w:eastAsia="宋体" w:cs="宋体"/>
          <w:color w:val="auto"/>
          <w:sz w:val="24"/>
          <w:szCs w:val="20"/>
          <w:highlight w:val="none"/>
          <w:lang w:val="zh-CN"/>
        </w:rPr>
        <w:t xml:space="preserve">小企业声明函》。</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（3）企业标准请参照《关于印发中小企业划型标准规定的通知》（工信部联企业〔2011〕300号）文件规定自行填写。</w:t>
      </w:r>
      <w:r/>
    </w:p>
    <w:p>
      <w:pPr>
        <w:ind w:firstLine="482"/>
        <w:keepLines w:val="0"/>
        <w:keepNext w:val="0"/>
        <w:pageBreakBefore w:val="0"/>
        <w:spacing w:line="520" w:lineRule="exact"/>
        <w:widowControl/>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2、残疾人福利单位</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（1）本项目对残疾人福利性单位视同小型、微型企业。</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（2）残疾人福利单位需按照采购文件的要求提供《残疾人福利性单位声明函》。</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（3）残疾人福利单位标准请参照《关于促进残疾人就业政府采购政策的通知》（财库〔2017〕141号）。</w:t>
      </w:r>
      <w:r/>
    </w:p>
    <w:p>
      <w:pPr>
        <w:ind w:firstLine="482"/>
        <w:keepLines w:val="0"/>
        <w:keepNext w:val="0"/>
        <w:pageBreakBefore w:val="0"/>
        <w:spacing w:line="520" w:lineRule="exact"/>
        <w:widowControl/>
        <w:rPr>
          <w:rFonts w:hint="eastAsia" w:ascii="宋体" w:hAnsi="宋体" w:eastAsia="宋体" w:cs="宋体"/>
          <w:b/>
          <w:bCs/>
          <w:color w:val="auto"/>
          <w:sz w:val="24"/>
          <w:szCs w:val="20"/>
          <w:highlight w:val="none"/>
          <w:lang w:val="zh-CN"/>
        </w:rPr>
        <w:outlineLvl w:val="9"/>
      </w:pPr>
      <w:r>
        <w:rPr>
          <w:rFonts w:hint="eastAsia" w:ascii="宋体" w:hAnsi="宋体" w:eastAsia="宋体" w:cs="宋体"/>
          <w:b/>
          <w:bCs/>
          <w:color w:val="auto"/>
          <w:sz w:val="24"/>
          <w:szCs w:val="20"/>
          <w:highlight w:val="none"/>
          <w:lang w:val="zh-CN"/>
        </w:rPr>
        <w:t xml:space="preserve">3、监狱和戒毒企业</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lang w:val="zh-CN"/>
        </w:rPr>
        <w:outlineLvl w:val="9"/>
      </w:pPr>
      <w:r>
        <w:rPr>
          <w:rFonts w:hint="eastAsia" w:ascii="宋体" w:hAnsi="宋体" w:eastAsia="宋体" w:cs="宋体"/>
          <w:color w:val="auto"/>
          <w:sz w:val="24"/>
          <w:szCs w:val="20"/>
          <w:highlight w:val="none"/>
          <w:lang w:val="zh-CN"/>
        </w:rPr>
        <w:t xml:space="preserve">4、残疾人福利单位、监狱企业属于小型、微型企业的，不重复享受政策。</w:t>
      </w:r>
      <w:r/>
    </w:p>
    <w:p>
      <w:pPr>
        <w:ind w:firstLine="480"/>
        <w:keepLines w:val="0"/>
        <w:keepNext w:val="0"/>
        <w:pageBreakBefore w:val="0"/>
        <w:spacing w:line="520" w:lineRule="exact"/>
        <w:widowControl/>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2"/>
        <w:jc w:val="left"/>
        <w:keepLines w:val="0"/>
        <w:keepNext w:val="0"/>
        <w:pageBreakBefore w:val="0"/>
        <w:spacing w:line="520" w:lineRule="exact"/>
        <w:widowControl/>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二、评标方法与评标标准</w:t>
      </w:r>
      <w:r/>
    </w:p>
    <w:p>
      <w:pPr>
        <w:ind w:firstLine="482"/>
        <w:jc w:val="left"/>
        <w:keepLines w:val="0"/>
        <w:keepNext w:val="0"/>
        <w:pageBreakBefore w:val="0"/>
        <w:spacing w:line="520" w:lineRule="exact"/>
        <w:widowControl/>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本项目评分总分值为100分。</w:t>
      </w:r>
      <w:r/>
    </w:p>
    <w:tbl>
      <w:tblPr>
        <w:tblStyle w:val="758"/>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1533"/>
        <w:gridCol w:w="6280"/>
        <w:gridCol w:w="787"/>
      </w:tblGrid>
      <w:tr>
        <w:trPr>
          <w:trHeight w:val="834"/>
        </w:trPr>
        <w:tc>
          <w:tcPr>
            <w:gridSpan w:val="2"/>
            <w:tcW w:w="2097" w:type="dxa"/>
            <w:vAlign w:val="center"/>
            <w:textDirection w:val="lrTb"/>
            <w:noWrap/>
          </w:tcPr>
          <w:p>
            <w:pPr>
              <w:jc w:val="center"/>
              <w:spacing w:line="24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评审项目</w:t>
            </w:r>
            <w:r/>
          </w:p>
        </w:tc>
        <w:tc>
          <w:tcPr>
            <w:tcW w:w="6280" w:type="dxa"/>
            <w:vAlign w:val="center"/>
            <w:textDirection w:val="lrTb"/>
            <w:noWrap/>
          </w:tcPr>
          <w:p>
            <w:pPr>
              <w:jc w:val="center"/>
              <w:spacing w:line="24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评审标准</w:t>
            </w:r>
            <w:r/>
          </w:p>
        </w:tc>
        <w:tc>
          <w:tcPr>
            <w:tcW w:w="787" w:type="dxa"/>
            <w:vAlign w:val="center"/>
            <w:textDirection w:val="lrTb"/>
            <w:noWrap/>
          </w:tcPr>
          <w:p>
            <w:pPr>
              <w:jc w:val="center"/>
              <w:spacing w:line="240"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highlight w:val="none"/>
              </w:rPr>
              <w:t xml:space="preserve">分值</w:t>
            </w:r>
            <w:r/>
          </w:p>
        </w:tc>
      </w:tr>
      <w:tr>
        <w:trPr>
          <w:trHeight w:val="1445"/>
        </w:trPr>
        <w:tc>
          <w:tcPr>
            <w:gridSpan w:val="2"/>
            <w:tcW w:w="2097" w:type="dxa"/>
            <w:vAlign w:val="center"/>
            <w:textDirection w:val="lrTb"/>
            <w:noWrap/>
          </w:tcPr>
          <w:p>
            <w:pPr>
              <w:jc w:val="center"/>
              <w:keepLines w:val="0"/>
              <w:pageBreakBefore w:val="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投标报价</w:t>
            </w:r>
            <w:r/>
          </w:p>
        </w:tc>
        <w:tc>
          <w:tcPr>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1.采用低价优先法，即满足招标文件要求且投标价格最低的有效投标报价为评标基准价，其价格分为满分。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2.其他投标人的价格分统一按下列公式计算：投标报价得分为（评标基准价/投标报价）×50（小数点保留两位）。</w:t>
            </w:r>
            <w:r/>
          </w:p>
        </w:tc>
        <w:tc>
          <w:tcPr>
            <w:tcW w:w="787" w:type="dxa"/>
            <w:vAlign w:val="center"/>
            <w:textDirection w:val="lrTb"/>
            <w:noWrap/>
          </w:tcPr>
          <w:p>
            <w:pPr>
              <w:jc w:val="both"/>
              <w:keepLines w:val="0"/>
              <w:pageBreakBefore w:val="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50分</w:t>
            </w:r>
            <w:r/>
          </w:p>
        </w:tc>
      </w:tr>
      <w:tr>
        <w:trPr>
          <w:trHeight w:val="3447"/>
        </w:trPr>
        <w:tc>
          <w:tcPr>
            <w:gridSpan w:val="2"/>
            <w:tcW w:w="2097" w:type="dxa"/>
            <w:vAlign w:val="center"/>
            <w:textDirection w:val="lrTb"/>
            <w:noWrap/>
          </w:tcPr>
          <w:p>
            <w:pPr>
              <w:jc w:val="center"/>
              <w:keepLines w:val="0"/>
              <w:pageBreakBefore w:val="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业绩</w:t>
            </w:r>
            <w:r/>
          </w:p>
        </w:tc>
        <w:tc>
          <w:tcPr>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2022年1月1日以来（以合同签订日期为准），投标人承担过类似物业服务业绩，且与本项目服务内容相匹配的业绩，业绩服务范围须至少包括：保洁服务、陪检配送(含运送）、后勤技术工种（水电维修或机电维修等）。每提供一个业绩得2分，最高得8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szCs w:val="24"/>
                <w:highlight w:val="none"/>
              </w:rPr>
              <w:t xml:space="preserve">备注：以投标人提供的有效的合同原件扫描件，合同中必须包含服务内容、合同签订时间等信息计分，如合同内无法体现服务内容的，可提供业主单位出具的证明并加盖公章扫描件，否则不计分。</w:t>
            </w:r>
            <w:r/>
          </w:p>
        </w:tc>
        <w:tc>
          <w:tcPr>
            <w:tcW w:w="787" w:type="dxa"/>
            <w:vAlign w:val="center"/>
            <w:textDirection w:val="lrTb"/>
            <w:noWrap/>
          </w:tcPr>
          <w:p>
            <w:pPr>
              <w:jc w:val="both"/>
              <w:keepLines w:val="0"/>
              <w:pageBreakBefore w:val="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r>
      <w:tr>
        <w:trPr>
          <w:trHeight w:val="4055"/>
        </w:trPr>
        <w:tc>
          <w:tcPr>
            <w:gridSpan w:val="2"/>
            <w:tcW w:w="2097" w:type="dxa"/>
            <w:vAlign w:val="center"/>
            <w:textDirection w:val="lrTb"/>
            <w:noWrap/>
          </w:tcPr>
          <w:p>
            <w:pPr>
              <w:jc w:val="center"/>
              <w:keepLines w:val="0"/>
              <w:pageBreakBefore w:val="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资质信誉</w:t>
            </w:r>
            <w:r/>
          </w:p>
        </w:tc>
        <w:tc>
          <w:tcPr>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取得国家认监委认可的机构颁发的有效期内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质量管理体系认证证书得1分；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取得国家认监委认可的机构颁发的有效期内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环境管理体系认证证书得1分；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w:t>
            </w:r>
            <w:r>
              <w:rPr>
                <w:rFonts w:hint="eastAsia" w:ascii="宋体" w:hAnsi="宋体" w:eastAsia="宋体" w:cs="宋体"/>
                <w:color w:val="auto"/>
                <w:sz w:val="24"/>
                <w:highlight w:val="none"/>
                <w:lang w:val="en-US" w:eastAsia="zh-CN"/>
              </w:rPr>
              <w:t xml:space="preserve">有效期内的</w:t>
            </w:r>
            <w:r>
              <w:rPr>
                <w:rFonts w:hint="eastAsia" w:ascii="宋体" w:hAnsi="宋体" w:eastAsia="宋体" w:cs="宋体"/>
                <w:color w:val="auto"/>
                <w:sz w:val="24"/>
                <w:highlight w:val="none"/>
              </w:rPr>
              <w:t xml:space="preserve">职业健康安全管理体系认证证书得1分；</w:t>
            </w:r>
            <w:r/>
          </w:p>
          <w:p>
            <w:pPr>
              <w:ind w:firstLine="480"/>
              <w:jc w:val="left"/>
              <w:keepLines w:val="0"/>
              <w:pageBreakBefore w:val="0"/>
              <w:spacing w:line="240" w:lineRule="auto"/>
              <w:widowControl/>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取得国家认监委认可的机构颁发的有效期内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公共环境灭菌消毒作业服务专业相关资质或认证证书的得1分</w:t>
            </w:r>
            <w:r>
              <w:rPr>
                <w:rFonts w:hint="eastAsia" w:ascii="宋体" w:hAnsi="宋体" w:cs="宋体"/>
                <w:color w:val="auto"/>
                <w:sz w:val="24"/>
                <w:highlight w:val="none"/>
                <w:lang w:eastAsia="zh-CN"/>
              </w:rPr>
              <w:t xml:space="preserve">。</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投标时需提供证书扫描件。</w:t>
            </w:r>
            <w:r>
              <w:rPr>
                <w:rFonts w:hint="eastAsia" w:ascii="宋体" w:hAnsi="宋体" w:eastAsia="宋体" w:cs="宋体"/>
                <w:color w:val="auto"/>
                <w:sz w:val="24"/>
                <w:highlight w:val="none"/>
              </w:rPr>
              <w:t xml:space="preserve">认证证书可通过“国家认证认可监督管理委员会”网站查询，投标人提供网站查询结果</w:t>
            </w:r>
            <w:r>
              <w:rPr>
                <w:rFonts w:hint="eastAsia" w:ascii="宋体" w:hAnsi="宋体" w:eastAsia="宋体" w:cs="宋体"/>
                <w:color w:val="auto"/>
                <w:sz w:val="24"/>
                <w:highlight w:val="none"/>
                <w:lang w:val="en-US" w:eastAsia="zh-CN"/>
              </w:rPr>
              <w:t xml:space="preserve">截图</w:t>
            </w:r>
            <w:r>
              <w:rPr>
                <w:rFonts w:hint="eastAsia" w:ascii="宋体" w:hAnsi="宋体" w:eastAsia="宋体" w:cs="宋体"/>
                <w:color w:val="auto"/>
                <w:sz w:val="24"/>
                <w:highlight w:val="none"/>
              </w:rPr>
              <w:t xml:space="preserve">并加盖公章，投标人应当确保证书开标当天处于有效期内，否则不予认可。】</w:t>
            </w:r>
            <w:r/>
          </w:p>
        </w:tc>
        <w:tc>
          <w:tcPr>
            <w:tcW w:w="787" w:type="dxa"/>
            <w:vAlign w:val="center"/>
            <w:textDirection w:val="lrTb"/>
            <w:noWrap/>
          </w:tcPr>
          <w:p>
            <w:pPr>
              <w:jc w:val="both"/>
              <w:keepLines w:val="0"/>
              <w:pageBreakBefore w:val="0"/>
              <w:spacing w:line="24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r>
      <w:tr>
        <w:trPr>
          <w:trHeight w:val="1691"/>
        </w:trPr>
        <w:tc>
          <w:tcPr>
            <w:gridSpan w:val="2"/>
            <w:shd w:val="clear" w:color="auto" w:fill="auto"/>
            <w:tcW w:w="2097" w:type="dxa"/>
            <w:vAlign w:val="center"/>
            <w:textDirection w:val="lrTb"/>
            <w:noWrap/>
          </w:tcPr>
          <w:p>
            <w:pPr>
              <w:jc w:val="center"/>
              <w:keepLines w:val="0"/>
              <w:pageBreakBefore w:val="0"/>
              <w:spacing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highlight w:val="none"/>
              </w:rPr>
              <w:t xml:space="preserve">人员配备</w:t>
            </w:r>
            <w:r/>
          </w:p>
        </w:tc>
        <w:tc>
          <w:tcPr>
            <w:shd w:val="clear" w:color="auto" w:fill="auto"/>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1、拟派项目经理（限1人）具有本科及以上学历得2分；具有大专学历得1分，具有中专学历得0.5分；</w:t>
            </w:r>
            <w:r/>
          </w:p>
          <w:p>
            <w:pPr>
              <w:ind w:firstLine="480"/>
              <w:jc w:val="left"/>
              <w:keepLines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上述人员</w:t>
            </w:r>
            <w:r>
              <w:rPr>
                <w:rFonts w:hint="eastAsia" w:ascii="宋体" w:hAnsi="宋体" w:eastAsia="宋体" w:cs="宋体"/>
                <w:color w:val="auto"/>
                <w:sz w:val="24"/>
                <w:highlight w:val="none"/>
              </w:rPr>
              <w:t xml:space="preserve">须为投标人在职员工。</w:t>
            </w:r>
            <w:r>
              <w:rPr>
                <w:rFonts w:hint="eastAsia" w:ascii="宋体" w:hAnsi="宋体" w:eastAsia="宋体" w:cs="宋体"/>
                <w:color w:val="auto"/>
                <w:sz w:val="24"/>
                <w:highlight w:val="none"/>
                <w:lang w:val="en-US" w:eastAsia="zh-CN"/>
              </w:rPr>
              <w:t xml:space="preserve">投标时</w:t>
            </w:r>
            <w:r>
              <w:rPr>
                <w:rFonts w:hint="eastAsia" w:ascii="宋体" w:hAnsi="宋体" w:eastAsia="宋体" w:cs="宋体"/>
                <w:color w:val="auto"/>
                <w:sz w:val="24"/>
                <w:highlight w:val="none"/>
              </w:rPr>
              <w:t xml:space="preserve">须提供投标人为其缴纳的</w:t>
            </w:r>
            <w:r>
              <w:rPr>
                <w:rFonts w:hint="eastAsia" w:ascii="宋体" w:hAnsi="宋体" w:eastAsia="宋体" w:cs="宋体"/>
                <w:color w:val="auto"/>
                <w:sz w:val="24"/>
                <w:highlight w:val="none"/>
                <w:lang w:val="en-US" w:eastAsia="zh-CN"/>
              </w:rPr>
              <w:t xml:space="preserve">2025年7月至2025年10月</w:t>
            </w:r>
            <w:r>
              <w:rPr>
                <w:rFonts w:hint="eastAsia" w:ascii="宋体" w:hAnsi="宋体" w:eastAsia="宋体" w:cs="宋体"/>
                <w:color w:val="auto"/>
                <w:sz w:val="24"/>
                <w:highlight w:val="none"/>
              </w:rPr>
              <w:t xml:space="preserve">中任意一个月</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社保证明材料</w:t>
            </w:r>
            <w:r>
              <w:rPr>
                <w:rFonts w:hint="eastAsia" w:ascii="宋体" w:hAnsi="宋体" w:eastAsia="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w:t>
            </w:r>
            <w:r/>
          </w:p>
        </w:tc>
        <w:tc>
          <w:tcPr>
            <w:shd w:val="clear" w:color="auto" w:fill="auto"/>
            <w:tcW w:w="787" w:type="dxa"/>
            <w:vAlign w:val="center"/>
            <w:textDirection w:val="lrTb"/>
            <w:noWrap/>
          </w:tcPr>
          <w:p>
            <w:pPr>
              <w:jc w:val="center"/>
              <w:keepLines w:val="0"/>
              <w:pageBreakBefore w:val="0"/>
              <w:spacing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tc>
      </w:tr>
      <w:tr>
        <w:trPr>
          <w:trHeight w:val="4075"/>
        </w:trPr>
        <w:tc>
          <w:tcPr>
            <w:tcW w:w="564" w:type="dxa"/>
            <w:vAlign w:val="center"/>
            <w:vMerge w:val="restart"/>
            <w:textDirection w:val="lrTb"/>
            <w:noWrap/>
          </w:tcPr>
          <w:p>
            <w:r>
              <w:t xml:space="preserve">服务</w:t>
            </w:r>
            <w:r>
              <w:t xml:space="preserve">方案</w:t>
            </w:r>
            <w:r/>
            <w:r/>
          </w:p>
        </w:tc>
        <w:tc>
          <w:tcPr>
            <w:tcW w:w="1533" w:type="dxa"/>
            <w:vAlign w:val="center"/>
            <w:textDirection w:val="lrTb"/>
            <w:noWrap/>
          </w:tcPr>
          <w:p>
            <w:r>
              <w:t xml:space="preserve">整体</w:t>
            </w:r>
            <w:r>
              <w:t xml:space="preserve">方案</w:t>
            </w:r>
            <w:r/>
            <w:r/>
          </w:p>
        </w:tc>
        <w:tc>
          <w:tcPr>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供应商根据本项目第四章“</w:t>
            </w:r>
            <w:r>
              <w:rPr>
                <w:rFonts w:hint="eastAsia" w:ascii="宋体" w:hAnsi="宋体" w:eastAsia="宋体" w:cs="宋体"/>
                <w:color w:val="auto"/>
                <w:sz w:val="24"/>
                <w:szCs w:val="20"/>
                <w:highlight w:val="none"/>
                <w:lang w:val="en-US"/>
              </w:rPr>
              <w:t xml:space="preserve">3</w:t>
            </w:r>
            <w:r>
              <w:rPr>
                <w:rFonts w:hint="eastAsia" w:ascii="宋体" w:hAnsi="宋体" w:eastAsia="宋体" w:cs="宋体"/>
                <w:color w:val="auto"/>
                <w:sz w:val="24"/>
                <w:szCs w:val="20"/>
                <w:highlight w:val="none"/>
                <w:lang w:val="zh-CN"/>
              </w:rPr>
              <w:t xml:space="preserve">.1物业管理整体方案要求”，投标人根据招标文件中的</w:t>
            </w:r>
            <w:r>
              <w:rPr>
                <w:rFonts w:hint="eastAsia" w:ascii="宋体" w:hAnsi="宋体" w:eastAsia="宋体" w:cs="宋体"/>
                <w:color w:val="auto"/>
                <w:sz w:val="24"/>
                <w:szCs w:val="20"/>
                <w:highlight w:val="none"/>
              </w:rPr>
              <w:t xml:space="preserve">项目需求编制整体</w:t>
            </w:r>
            <w:r>
              <w:rPr>
                <w:rFonts w:hint="eastAsia" w:ascii="宋体" w:hAnsi="宋体" w:eastAsia="宋体" w:cs="宋体"/>
                <w:color w:val="auto"/>
                <w:sz w:val="24"/>
                <w:szCs w:val="20"/>
                <w:highlight w:val="none"/>
                <w:lang w:val="zh-CN"/>
              </w:rPr>
              <w:t xml:space="preserve">方案，</w:t>
            </w:r>
            <w:r>
              <w:rPr>
                <w:rFonts w:hint="eastAsia" w:ascii="宋体" w:hAnsi="宋体" w:eastAsia="宋体" w:cs="宋体"/>
                <w:color w:val="auto"/>
                <w:sz w:val="24"/>
                <w:szCs w:val="20"/>
                <w:highlight w:val="none"/>
                <w:lang w:val="zh-CN"/>
              </w:rPr>
              <w:t xml:space="preserve">至少</w:t>
            </w:r>
            <w:r>
              <w:rPr>
                <w:rFonts w:hint="eastAsia" w:ascii="宋体" w:hAnsi="宋体" w:eastAsia="宋体" w:cs="宋体"/>
                <w:color w:val="auto"/>
                <w:sz w:val="24"/>
                <w:szCs w:val="20"/>
                <w:highlight w:val="none"/>
                <w:lang w:val="zh-CN"/>
              </w:rPr>
              <w:t xml:space="preserve">包含：管理服务的范围、目标、整体规划及设想，服务的重点及难点</w:t>
            </w:r>
            <w:r>
              <w:rPr>
                <w:rFonts w:hint="eastAsia" w:ascii="宋体" w:hAnsi="宋体" w:eastAsia="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zh-CN"/>
              </w:rPr>
              <w:t xml:space="preserve">。评委根据投标人提供的</w:t>
            </w:r>
            <w:r>
              <w:rPr>
                <w:rFonts w:hint="eastAsia" w:ascii="宋体" w:hAnsi="宋体" w:eastAsia="宋体" w:cs="宋体"/>
                <w:color w:val="auto"/>
                <w:sz w:val="24"/>
                <w:szCs w:val="20"/>
                <w:highlight w:val="none"/>
              </w:rPr>
              <w:t xml:space="preserve">整体</w:t>
            </w:r>
            <w:r>
              <w:rPr>
                <w:rFonts w:hint="eastAsia" w:ascii="宋体" w:hAnsi="宋体" w:eastAsia="宋体" w:cs="宋体"/>
                <w:color w:val="auto"/>
                <w:sz w:val="24"/>
                <w:szCs w:val="20"/>
                <w:highlight w:val="none"/>
                <w:lang w:val="zh-CN"/>
              </w:rPr>
              <w:t xml:space="preserve">方案进行评审。优于项目需求得</w:t>
            </w:r>
            <w:r>
              <w:rPr>
                <w:rFonts w:hint="eastAsia" w:ascii="宋体" w:hAnsi="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lang w:val="zh-CN"/>
              </w:rPr>
              <w:t xml:space="preserve">分，满足项目需求得</w:t>
            </w:r>
            <w:r>
              <w:rPr>
                <w:rFonts w:hint="eastAsia" w:ascii="宋体" w:hAnsi="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lang w:val="zh-CN"/>
              </w:rPr>
              <w:t xml:space="preserve">分，不满足或不提供得0分。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szCs w:val="20"/>
                <w:highlight w:val="none"/>
                <w:lang w:val="en-US" w:eastAsia="zh-CN"/>
              </w:rPr>
              <w:t xml:space="preserve">投标人编制的</w:t>
            </w:r>
            <w:r>
              <w:rPr>
                <w:rFonts w:hint="eastAsia" w:ascii="宋体" w:hAnsi="宋体" w:eastAsia="宋体" w:cs="宋体"/>
                <w:color w:val="auto"/>
                <w:sz w:val="24"/>
                <w:szCs w:val="20"/>
                <w:highlight w:val="none"/>
                <w:lang w:val="zh-CN"/>
              </w:rPr>
              <w:t xml:space="preserve">整体方案完全覆盖招标文件列明的所有服务内容，</w:t>
            </w:r>
            <w:r>
              <w:rPr>
                <w:rFonts w:hint="eastAsia" w:ascii="宋体" w:hAnsi="宋体" w:eastAsia="宋体" w:cs="宋体"/>
                <w:color w:val="auto"/>
                <w:sz w:val="24"/>
                <w:szCs w:val="20"/>
                <w:highlight w:val="none"/>
                <w:lang w:val="en-US" w:eastAsia="zh-CN"/>
              </w:rPr>
              <w:t xml:space="preserve">目标内容与招标文件需求完全匹配，准确识别招标文件中明确的核心重点，同时还包含了除招标文件项目需求以外且和本项目有关的内容，可视为优于；</w:t>
            </w:r>
            <w:r>
              <w:rPr>
                <w:rFonts w:hint="eastAsia" w:ascii="宋体" w:hAnsi="宋体" w:eastAsia="宋体" w:cs="宋体"/>
                <w:color w:val="auto"/>
                <w:sz w:val="24"/>
                <w:szCs w:val="20"/>
                <w:highlight w:val="none"/>
                <w:lang w:val="zh-CN"/>
              </w:rPr>
              <w:t xml:space="preserve">整体方案</w:t>
            </w:r>
            <w:r>
              <w:rPr>
                <w:rFonts w:hint="eastAsia" w:ascii="宋体" w:hAnsi="宋体" w:eastAsia="宋体" w:cs="宋体"/>
                <w:color w:val="auto"/>
                <w:sz w:val="24"/>
                <w:szCs w:val="20"/>
                <w:highlight w:val="none"/>
                <w:lang w:val="en-US" w:eastAsia="zh-CN"/>
              </w:rPr>
              <w:t xml:space="preserve">能响应需求的，视为满足项目需求；整体方案内容简单，不能完全响应项目需求或有负偏离的，可视为不符合。具体由评标委员会根据投标人的方案进行评审。</w:t>
            </w:r>
            <w:r/>
          </w:p>
        </w:tc>
        <w:tc>
          <w:tcPr>
            <w:tcW w:w="787" w:type="dxa"/>
            <w:vAlign w:val="center"/>
            <w:textDirection w:val="lrTb"/>
            <w:noWrap/>
          </w:tcPr>
          <w:p>
            <w:pPr>
              <w:pStyle w:val="761"/>
              <w:jc w:val="both"/>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r>
      <w:tr>
        <w:trPr>
          <w:trHeight w:val="3933"/>
        </w:trPr>
        <w:tc>
          <w:tcPr>
            <w:tcW w:w="564" w:type="dxa"/>
            <w:vMerge w:val="continue"/>
            <w:textDirection w:val="lrTb"/>
            <w:noWrap/>
          </w:tcPr>
          <w:p>
            <w:pPr>
              <w:pStyle w:val="761"/>
              <w:ind w:firstLine="480"/>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3" w:type="dxa"/>
            <w:vAlign w:val="center"/>
            <w:textDirection w:val="lrTb"/>
            <w:noWrap/>
          </w:tcPr>
          <w:p>
            <w:r>
              <w:t xml:space="preserve">专项</w:t>
            </w:r>
            <w:r>
              <w:t xml:space="preserve">实施</w:t>
            </w:r>
            <w:r>
              <w:t xml:space="preserve">方案</w:t>
            </w:r>
            <w:r/>
            <w:r/>
          </w:p>
        </w:tc>
        <w:tc>
          <w:tcPr>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szCs w:val="20"/>
                <w:highlight w:val="none"/>
                <w:lang w:val="zh-CN"/>
              </w:rPr>
              <w:t xml:space="preserve">供应商根据本项目第四章“</w:t>
            </w:r>
            <w:r>
              <w:rPr>
                <w:rFonts w:hint="eastAsia" w:ascii="宋体" w:hAnsi="宋体" w:eastAsia="宋体" w:cs="宋体"/>
                <w:color w:val="auto"/>
                <w:sz w:val="24"/>
                <w:szCs w:val="20"/>
                <w:highlight w:val="none"/>
                <w:lang w:val="en-US"/>
              </w:rPr>
              <w:t xml:space="preserve">3</w:t>
            </w:r>
            <w:r>
              <w:rPr>
                <w:rFonts w:hint="eastAsia" w:ascii="宋体" w:hAnsi="宋体" w:eastAsia="宋体" w:cs="宋体"/>
                <w:color w:val="auto"/>
                <w:sz w:val="24"/>
                <w:szCs w:val="20"/>
                <w:highlight w:val="none"/>
                <w:lang w:val="zh-CN"/>
              </w:rPr>
              <w:t xml:space="preserve">.</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highlight w:val="none"/>
              </w:rPr>
              <w:t xml:space="preserve">专项实施</w:t>
            </w:r>
            <w:r>
              <w:rPr>
                <w:rFonts w:hint="eastAsia" w:ascii="宋体" w:hAnsi="宋体" w:eastAsia="宋体" w:cs="宋体"/>
                <w:color w:val="auto"/>
                <w:sz w:val="24"/>
                <w:szCs w:val="20"/>
                <w:highlight w:val="none"/>
                <w:lang w:val="zh-CN"/>
              </w:rPr>
              <w:t xml:space="preserve">方案要求”</w:t>
            </w:r>
            <w:r>
              <w:rPr>
                <w:rFonts w:hint="eastAsia" w:ascii="宋体" w:hAnsi="宋体" w:eastAsia="宋体" w:cs="宋体"/>
                <w:color w:val="auto"/>
                <w:sz w:val="24"/>
                <w:highlight w:val="none"/>
              </w:rPr>
              <w:t xml:space="preserve">，投标人对各项要求作出具体承诺及所采用的流程、标准、具体实施计划和专项实施方案，专项内容包含重点科室（手术室、ICU、急诊中心</w:t>
            </w:r>
            <w:r>
              <w:rPr>
                <w:rFonts w:hint="eastAsia" w:ascii="宋体" w:hAnsi="宋体" w:eastAsia="宋体" w:cs="宋体"/>
                <w:color w:val="auto"/>
                <w:sz w:val="24"/>
                <w:highlight w:val="none"/>
                <w:lang w:eastAsia="zh-CN"/>
              </w:rPr>
              <w:t xml:space="preserve">、医疗垃圾收集</w:t>
            </w:r>
            <w:r>
              <w:rPr>
                <w:rFonts w:hint="eastAsia" w:ascii="宋体" w:hAnsi="宋体" w:eastAsia="宋体" w:cs="宋体"/>
                <w:color w:val="auto"/>
                <w:sz w:val="24"/>
                <w:highlight w:val="none"/>
              </w:rPr>
              <w:t xml:space="preserve">）、院感防控等。</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分，不满足或不提供得0分。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人编制的专项实施方案内容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61"/>
              <w:jc w:val="both"/>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r>
      <w:tr>
        <w:trPr>
          <w:trHeight w:val="4194"/>
        </w:trPr>
        <w:tc>
          <w:tcPr>
            <w:tcW w:w="564" w:type="dxa"/>
            <w:vMerge w:val="continue"/>
            <w:textDirection w:val="lrTb"/>
            <w:noWrap/>
          </w:tcPr>
          <w:p>
            <w:pPr>
              <w:pStyle w:val="761"/>
              <w:ind w:firstLine="480"/>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3" w:type="dxa"/>
            <w:vAlign w:val="center"/>
            <w:textDirection w:val="lrTb"/>
            <w:noWrap/>
          </w:tcPr>
          <w:p>
            <w:pPr>
              <w:jc w:val="center"/>
              <w:keepLines w:val="0"/>
              <w:pageBreakBefore w:val="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交接过渡</w:t>
            </w:r>
            <w:r/>
          </w:p>
          <w:p>
            <w:pPr>
              <w:jc w:val="center"/>
              <w:keepLines w:val="0"/>
              <w:pageBreakBefore w:val="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方案</w:t>
            </w:r>
            <w:r/>
          </w:p>
        </w:tc>
        <w:tc>
          <w:tcPr>
            <w:tcW w:w="6280" w:type="dxa"/>
            <w:vAlign w:val="center"/>
            <w:textDirection w:val="lrTb"/>
            <w:noWrap/>
          </w:tcPr>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zh-CN"/>
              </w:rPr>
              <w:t xml:space="preserve">供应商根据本项目第四章“</w:t>
            </w:r>
            <w:r>
              <w:rPr>
                <w:rFonts w:hint="eastAsia" w:ascii="宋体" w:hAnsi="宋体" w:eastAsia="宋体" w:cs="宋体"/>
                <w:color w:val="auto"/>
                <w:sz w:val="24"/>
                <w:szCs w:val="20"/>
                <w:highlight w:val="none"/>
                <w:lang w:val="en-US"/>
              </w:rPr>
              <w:t xml:space="preserve">3</w:t>
            </w:r>
            <w:r>
              <w:rPr>
                <w:rFonts w:hint="eastAsia" w:ascii="宋体" w:hAnsi="宋体" w:eastAsia="宋体" w:cs="宋体"/>
                <w:color w:val="auto"/>
                <w:sz w:val="24"/>
                <w:szCs w:val="20"/>
                <w:highlight w:val="none"/>
                <w:lang w:val="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highlight w:val="none"/>
              </w:rPr>
              <w:t xml:space="preserve">交接过渡</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szCs w:val="20"/>
                <w:highlight w:val="none"/>
                <w:lang w:val="zh-CN"/>
              </w:rPr>
              <w:t xml:space="preserve">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0"/>
                <w:highlight w:val="none"/>
                <w:lang w:val="zh-CN"/>
              </w:rPr>
              <w:t xml:space="preserve">提供完善可行的进场项目交接方案，与采购人原服务供应商进行项目交接的期限为</w:t>
            </w: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lang w:val="zh-CN"/>
              </w:rPr>
              <w:t xml:space="preserve">个工作日，承诺拟派驻总人数80%到岗时间、承诺拟派驻总人数95%到岗时间以及承诺重点科室（手术室、ICU、医疗垃圾收集、急诊中心）90%到岗时间（自物业合同签订起开始计算）；</w:t>
            </w:r>
            <w:r>
              <w:rPr>
                <w:rFonts w:hint="eastAsia" w:ascii="宋体" w:hAnsi="宋体" w:eastAsia="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0"/>
                <w:highlight w:val="none"/>
                <w:lang w:val="zh-CN"/>
              </w:rPr>
              <w:t xml:space="preserve">不满足或不提供得0分。</w:t>
            </w:r>
            <w:r/>
          </w:p>
          <w:p>
            <w:pPr>
              <w:ind w:firstLine="480"/>
              <w:jc w:val="left"/>
              <w:keepLines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lang w:val="en-US" w:eastAsia="zh-CN"/>
              </w:rPr>
              <w:t xml:space="preserve">供应商编制的</w:t>
            </w:r>
            <w:r>
              <w:rPr>
                <w:rFonts w:hint="eastAsia" w:ascii="宋体" w:hAnsi="宋体" w:eastAsia="宋体" w:cs="宋体"/>
                <w:color w:val="auto"/>
                <w:sz w:val="24"/>
                <w:szCs w:val="20"/>
                <w:highlight w:val="none"/>
                <w:lang w:val="zh-CN"/>
              </w:rPr>
              <w:t xml:space="preserve">方案</w:t>
            </w:r>
            <w:r>
              <w:rPr>
                <w:rFonts w:hint="eastAsia" w:ascii="宋体" w:hAnsi="宋体" w:eastAsia="宋体" w:cs="宋体"/>
                <w:color w:val="auto"/>
                <w:sz w:val="24"/>
                <w:szCs w:val="20"/>
                <w:highlight w:val="none"/>
                <w:lang w:val="en-US" w:eastAsia="zh-CN"/>
              </w:rPr>
              <w:t xml:space="preserve">内容详细，</w:t>
            </w:r>
            <w:r>
              <w:rPr>
                <w:rFonts w:hint="eastAsia" w:ascii="宋体" w:hAnsi="宋体" w:eastAsia="宋体" w:cs="宋体"/>
                <w:color w:val="auto"/>
                <w:sz w:val="24"/>
                <w:szCs w:val="20"/>
                <w:highlight w:val="none"/>
                <w:lang w:val="zh-CN"/>
              </w:rPr>
              <w:t xml:space="preserve">完全覆盖招标文件的</w:t>
            </w:r>
            <w:r>
              <w:rPr>
                <w:rFonts w:hint="eastAsia" w:ascii="宋体" w:hAnsi="宋体" w:eastAsia="宋体" w:cs="宋体"/>
                <w:color w:val="auto"/>
                <w:sz w:val="24"/>
                <w:szCs w:val="20"/>
                <w:highlight w:val="none"/>
                <w:lang w:val="en-US" w:eastAsia="zh-CN"/>
              </w:rPr>
              <w:t xml:space="preserve">需求</w:t>
            </w:r>
            <w:r>
              <w:rPr>
                <w:rFonts w:hint="eastAsia" w:ascii="宋体" w:hAnsi="宋体" w:eastAsia="宋体" w:cs="宋体"/>
                <w:color w:val="auto"/>
                <w:sz w:val="24"/>
                <w:szCs w:val="20"/>
                <w:highlight w:val="none"/>
                <w:lang w:val="zh-CN"/>
              </w:rPr>
              <w:t xml:space="preserve">服务内容，</w:t>
            </w:r>
            <w:r>
              <w:rPr>
                <w:rFonts w:hint="eastAsia" w:ascii="宋体" w:hAnsi="宋体" w:eastAsia="宋体" w:cs="宋体"/>
                <w:color w:val="auto"/>
                <w:sz w:val="24"/>
                <w:szCs w:val="20"/>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szCs w:val="20"/>
                <w:highlight w:val="none"/>
                <w:lang w:val="zh-CN"/>
              </w:rPr>
              <w:t xml:space="preserve">方案</w:t>
            </w:r>
            <w:r>
              <w:rPr>
                <w:rFonts w:hint="eastAsia" w:ascii="宋体" w:hAnsi="宋体" w:eastAsia="宋体" w:cs="宋体"/>
                <w:color w:val="auto"/>
                <w:sz w:val="24"/>
                <w:szCs w:val="20"/>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61"/>
              <w:jc w:val="both"/>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r>
      <w:tr>
        <w:trPr>
          <w:trHeight w:val="3170"/>
        </w:trPr>
        <w:tc>
          <w:tcPr>
            <w:tcW w:w="564" w:type="dxa"/>
            <w:vMerge w:val="continue"/>
            <w:textDirection w:val="lrTb"/>
            <w:noWrap/>
          </w:tcPr>
          <w:p>
            <w:pPr>
              <w:pStyle w:val="761"/>
              <w:ind w:firstLine="480"/>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3" w:type="dxa"/>
            <w:vAlign w:val="center"/>
            <w:textDirection w:val="lrTb"/>
            <w:noWrap/>
          </w:tcPr>
          <w:p>
            <w:pPr>
              <w:jc w:val="center"/>
              <w:keepLines w:val="0"/>
              <w:pageBreakBefore w:val="0"/>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物业服务</w:t>
            </w:r>
            <w:r/>
          </w:p>
          <w:p>
            <w:pPr>
              <w:jc w:val="center"/>
              <w:keepLines w:val="0"/>
              <w:pageBreakBefore w:val="0"/>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方案</w:t>
            </w:r>
            <w:r/>
          </w:p>
        </w:tc>
        <w:tc>
          <w:tcPr>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szCs w:val="20"/>
                <w:highlight w:val="none"/>
                <w:lang w:val="zh-CN"/>
              </w:rPr>
              <w:t xml:space="preserve">供应商根据本项目第四章“</w:t>
            </w:r>
            <w:r>
              <w:rPr>
                <w:rFonts w:hint="eastAsia" w:ascii="宋体" w:hAnsi="宋体" w:eastAsia="宋体" w:cs="宋体"/>
                <w:color w:val="auto"/>
                <w:sz w:val="24"/>
                <w:szCs w:val="20"/>
                <w:highlight w:val="none"/>
                <w:lang w:val="en-US"/>
              </w:rPr>
              <w:t xml:space="preserve">3</w:t>
            </w:r>
            <w:r>
              <w:rPr>
                <w:rFonts w:hint="eastAsia" w:ascii="宋体" w:hAnsi="宋体" w:eastAsia="宋体" w:cs="宋体"/>
                <w:color w:val="auto"/>
                <w:sz w:val="24"/>
                <w:szCs w:val="20"/>
                <w:highlight w:val="none"/>
                <w:lang w:val="zh-CN"/>
              </w:rPr>
              <w:t xml:space="preserve">.</w:t>
            </w:r>
            <w:r>
              <w:rPr>
                <w:rFonts w:hint="eastAsia" w:ascii="宋体" w:hAnsi="宋体" w:eastAsia="宋体" w:cs="宋体"/>
                <w:color w:val="auto"/>
                <w:sz w:val="24"/>
                <w:szCs w:val="20"/>
                <w:highlight w:val="none"/>
                <w:lang w:val="en-US" w:eastAsia="zh-CN"/>
              </w:rPr>
              <w:t xml:space="preserve">4-3.9</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szCs w:val="20"/>
                <w:highlight w:val="none"/>
                <w:lang w:val="zh-CN"/>
              </w:rPr>
              <w:t xml:space="preserve">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0"/>
                <w:highlight w:val="none"/>
                <w:lang w:val="en-US" w:eastAsia="zh-CN"/>
              </w:rPr>
              <w:t xml:space="preserve">制定</w:t>
            </w:r>
            <w:r>
              <w:rPr>
                <w:rFonts w:hint="eastAsia" w:ascii="宋体" w:hAnsi="宋体" w:eastAsia="宋体" w:cs="宋体"/>
                <w:color w:val="auto"/>
                <w:sz w:val="24"/>
                <w:szCs w:val="20"/>
                <w:highlight w:val="none"/>
                <w:lang w:val="zh-CN"/>
              </w:rPr>
              <w:t xml:space="preserve">完善可行的</w:t>
            </w:r>
            <w:r>
              <w:rPr>
                <w:rFonts w:hint="eastAsia" w:ascii="宋体" w:hAnsi="宋体" w:eastAsia="宋体" w:cs="宋体"/>
                <w:color w:val="auto"/>
                <w:sz w:val="24"/>
                <w:szCs w:val="20"/>
                <w:highlight w:val="none"/>
                <w:lang w:val="en-US" w:eastAsia="zh-CN"/>
              </w:rPr>
              <w:t xml:space="preserve">物业服务</w:t>
            </w:r>
            <w:r>
              <w:rPr>
                <w:rFonts w:hint="eastAsia" w:ascii="宋体" w:hAnsi="宋体" w:eastAsia="宋体" w:cs="宋体"/>
                <w:color w:val="auto"/>
                <w:sz w:val="24"/>
                <w:szCs w:val="20"/>
                <w:highlight w:val="none"/>
                <w:lang w:val="zh-CN"/>
              </w:rPr>
              <w:t xml:space="preserve">方案，物业服务方案主要包括：保洁服务方案、陪检配送服务方案、医技工勤服务方案、后勤技术服务方案、导医服务方案、电梯运行服务方案等。</w:t>
            </w:r>
            <w:r>
              <w:rPr>
                <w:rFonts w:hint="eastAsia" w:ascii="宋体" w:hAnsi="宋体" w:eastAsia="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0"/>
                <w:highlight w:val="none"/>
                <w:lang w:val="zh-CN"/>
              </w:rPr>
              <w:t xml:space="preserve">不满足或不提供得0分。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szCs w:val="20"/>
                <w:highlight w:val="none"/>
                <w:lang w:val="zh-CN"/>
              </w:rPr>
              <w:t xml:space="preserve">供应商根据本项目第四章“</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rPr>
              <w:t xml:space="preserve">物业管理服务人员需求”，</w:t>
            </w:r>
            <w:r>
              <w:rPr>
                <w:rFonts w:hint="eastAsia" w:ascii="宋体" w:hAnsi="宋体" w:eastAsia="宋体" w:cs="宋体"/>
                <w:color w:val="auto"/>
                <w:sz w:val="24"/>
                <w:highlight w:val="none"/>
              </w:rPr>
              <w:t xml:space="preserve">设置项目组织机构，人员配备方案（根据项目需求配备项目经理、助理、主管、各类人员等）、制定针对本项目的物业服务管理规章制度、人员岗位职责、人员培训方案等。方案优于项目需求得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分，方案满足项目需求得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0"/>
                <w:highlight w:val="none"/>
                <w:lang w:val="zh-CN"/>
              </w:rPr>
              <w:t xml:space="preserve">不满足或不提供得0分。</w:t>
            </w:r>
            <w:r/>
          </w:p>
        </w:tc>
        <w:tc>
          <w:tcPr>
            <w:tcW w:w="787" w:type="dxa"/>
            <w:vAlign w:val="center"/>
            <w:textDirection w:val="lrTb"/>
            <w:noWrap/>
          </w:tcPr>
          <w:p>
            <w:pPr>
              <w:pStyle w:val="761"/>
              <w:jc w:val="both"/>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r>
      <w:tr>
        <w:trPr>
          <w:trHeight w:val="2953"/>
        </w:trPr>
        <w:tc>
          <w:tcPr>
            <w:tcW w:w="564" w:type="dxa"/>
            <w:vMerge w:val="continue"/>
            <w:textDirection w:val="lrTb"/>
            <w:noWrap/>
          </w:tcPr>
          <w:p>
            <w:pPr>
              <w:pStyle w:val="761"/>
              <w:ind w:firstLine="480"/>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3" w:type="dxa"/>
            <w:vAlign w:val="center"/>
            <w:textDirection w:val="lrTb"/>
            <w:noWrap/>
          </w:tcPr>
          <w:p>
            <w:pPr>
              <w:jc w:val="both"/>
              <w:keepLines w:val="0"/>
              <w:pageBreakBefore w:val="0"/>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应急</w:t>
            </w:r>
            <w:r>
              <w:rPr>
                <w:rFonts w:hint="eastAsia" w:ascii="宋体" w:hAnsi="宋体" w:eastAsia="宋体" w:cs="宋体"/>
                <w:color w:val="auto"/>
                <w:sz w:val="24"/>
                <w:highlight w:val="none"/>
                <w:lang w:val="en-US" w:eastAsia="zh-CN"/>
              </w:rPr>
              <w:t xml:space="preserve">保障方案</w:t>
            </w:r>
            <w:r/>
          </w:p>
        </w:tc>
        <w:tc>
          <w:tcPr>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highlight w:val="none"/>
                <w:lang w:val="en-US" w:eastAsia="zh-CN"/>
              </w:rPr>
              <w:t xml:space="preserve">供应商根据</w:t>
            </w:r>
            <w:r>
              <w:rPr>
                <w:rFonts w:hint="eastAsia" w:ascii="宋体" w:hAnsi="宋体" w:eastAsia="宋体" w:cs="宋体"/>
                <w:color w:val="auto"/>
                <w:sz w:val="24"/>
                <w:szCs w:val="20"/>
                <w:highlight w:val="none"/>
                <w:lang w:val="zh-CN"/>
              </w:rPr>
              <w:t xml:space="preserve">本项目第四章“</w:t>
            </w:r>
            <w:r>
              <w:rPr>
                <w:rFonts w:hint="eastAsia" w:ascii="宋体" w:hAnsi="宋体" w:eastAsia="宋体" w:cs="宋体"/>
                <w:color w:val="auto"/>
                <w:sz w:val="24"/>
                <w:szCs w:val="20"/>
                <w:highlight w:val="none"/>
                <w:lang w:val="en-US" w:eastAsia="zh-CN"/>
              </w:rPr>
              <w:t xml:space="preserve">3.10</w:t>
            </w:r>
            <w:r>
              <w:rPr>
                <w:rFonts w:hint="eastAsia" w:ascii="宋体" w:hAnsi="宋体" w:eastAsia="宋体" w:cs="宋体"/>
                <w:color w:val="auto"/>
                <w:sz w:val="24"/>
                <w:szCs w:val="20"/>
                <w:highlight w:val="none"/>
                <w:lang w:val="zh-CN"/>
              </w:rPr>
              <w:t xml:space="preserve">应急保障要求”</w:t>
            </w:r>
            <w:r>
              <w:rPr>
                <w:rFonts w:hint="eastAsia" w:ascii="宋体" w:hAnsi="宋体" w:eastAsia="宋体" w:cs="宋体"/>
                <w:color w:val="auto"/>
                <w:sz w:val="24"/>
                <w:highlight w:val="none"/>
                <w:lang w:val="en-US" w:eastAsia="zh-CN"/>
              </w:rPr>
              <w:t xml:space="preserve">，编制</w:t>
            </w:r>
            <w:r>
              <w:rPr>
                <w:rFonts w:hint="eastAsia" w:ascii="宋体" w:hAnsi="宋体" w:eastAsia="宋体" w:cs="宋体"/>
                <w:color w:val="auto"/>
                <w:sz w:val="24"/>
                <w:highlight w:val="none"/>
              </w:rPr>
              <w:t xml:space="preserve">突发事件</w:t>
            </w:r>
            <w:r>
              <w:rPr>
                <w:rFonts w:hint="eastAsia" w:ascii="宋体" w:hAnsi="宋体" w:eastAsia="宋体" w:cs="宋体"/>
                <w:color w:val="auto"/>
                <w:sz w:val="24"/>
                <w:highlight w:val="none"/>
                <w:lang w:val="en-US" w:eastAsia="zh-CN"/>
              </w:rPr>
              <w:t xml:space="preserve">应急</w:t>
            </w:r>
            <w:r>
              <w:rPr>
                <w:rFonts w:hint="eastAsia" w:ascii="宋体" w:hAnsi="宋体" w:eastAsia="宋体" w:cs="宋体"/>
                <w:color w:val="auto"/>
                <w:sz w:val="24"/>
                <w:highlight w:val="none"/>
              </w:rPr>
              <w:t xml:space="preserve">处理方案，处理方法等。方案优于项目需求得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分，方案满足项目需求得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0"/>
                <w:highlight w:val="none"/>
                <w:lang w:val="zh-CN"/>
              </w:rPr>
              <w:t xml:space="preserve">不满足或不提供得0分。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szCs w:val="20"/>
                <w:highlight w:val="none"/>
                <w:lang w:val="en-US" w:eastAsia="zh-CN"/>
              </w:rPr>
              <w:t xml:space="preserve">投标人编制的</w:t>
            </w:r>
            <w:r>
              <w:rPr>
                <w:rFonts w:hint="eastAsia" w:ascii="宋体" w:hAnsi="宋体" w:eastAsia="宋体" w:cs="宋体"/>
                <w:color w:val="auto"/>
                <w:sz w:val="24"/>
                <w:szCs w:val="20"/>
                <w:highlight w:val="none"/>
                <w:lang w:val="zh-CN"/>
              </w:rPr>
              <w:t xml:space="preserve">方案</w:t>
            </w:r>
            <w:r>
              <w:rPr>
                <w:rFonts w:hint="eastAsia" w:ascii="宋体" w:hAnsi="宋体" w:eastAsia="宋体" w:cs="宋体"/>
                <w:color w:val="auto"/>
                <w:sz w:val="24"/>
                <w:szCs w:val="20"/>
                <w:highlight w:val="none"/>
                <w:lang w:val="en-US" w:eastAsia="zh-CN"/>
              </w:rPr>
              <w:t xml:space="preserve">内容详细，</w:t>
            </w:r>
            <w:r>
              <w:rPr>
                <w:rFonts w:hint="eastAsia" w:ascii="宋体" w:hAnsi="宋体" w:eastAsia="宋体" w:cs="宋体"/>
                <w:color w:val="auto"/>
                <w:sz w:val="24"/>
                <w:szCs w:val="20"/>
                <w:highlight w:val="none"/>
                <w:lang w:val="zh-CN"/>
              </w:rPr>
              <w:t xml:space="preserve">完全覆盖招标文件的</w:t>
            </w:r>
            <w:r>
              <w:rPr>
                <w:rFonts w:hint="eastAsia" w:ascii="宋体" w:hAnsi="宋体" w:eastAsia="宋体" w:cs="宋体"/>
                <w:color w:val="auto"/>
                <w:sz w:val="24"/>
                <w:szCs w:val="20"/>
                <w:highlight w:val="none"/>
                <w:lang w:val="en-US" w:eastAsia="zh-CN"/>
              </w:rPr>
              <w:t xml:space="preserve">需求</w:t>
            </w:r>
            <w:r>
              <w:rPr>
                <w:rFonts w:hint="eastAsia" w:ascii="宋体" w:hAnsi="宋体" w:eastAsia="宋体" w:cs="宋体"/>
                <w:color w:val="auto"/>
                <w:sz w:val="24"/>
                <w:szCs w:val="20"/>
                <w:highlight w:val="none"/>
                <w:lang w:val="zh-CN"/>
              </w:rPr>
              <w:t xml:space="preserve">服务内容，</w:t>
            </w:r>
            <w:r>
              <w:rPr>
                <w:rFonts w:hint="eastAsia" w:ascii="宋体" w:hAnsi="宋体" w:eastAsia="宋体" w:cs="宋体"/>
                <w:color w:val="auto"/>
                <w:sz w:val="24"/>
                <w:szCs w:val="20"/>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szCs w:val="20"/>
                <w:highlight w:val="none"/>
                <w:lang w:val="zh-CN"/>
              </w:rPr>
              <w:t xml:space="preserve">方案</w:t>
            </w:r>
            <w:r>
              <w:rPr>
                <w:rFonts w:hint="eastAsia" w:ascii="宋体" w:hAnsi="宋体" w:eastAsia="宋体" w:cs="宋体"/>
                <w:color w:val="auto"/>
                <w:sz w:val="24"/>
                <w:szCs w:val="20"/>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61"/>
              <w:jc w:val="both"/>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trHeight w:val="1086"/>
        </w:trPr>
        <w:tc>
          <w:tcPr>
            <w:tcW w:w="564" w:type="dxa"/>
            <w:vMerge w:val="continue"/>
            <w:textDirection w:val="lrTb"/>
            <w:noWrap/>
          </w:tcPr>
          <w:p>
            <w:pPr>
              <w:pStyle w:val="761"/>
              <w:ind w:firstLine="480"/>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3" w:type="dxa"/>
            <w:vAlign w:val="center"/>
            <w:textDirection w:val="lrTb"/>
            <w:noWrap/>
          </w:tcPr>
          <w:p>
            <w:pPr>
              <w:jc w:val="both"/>
              <w:keepLines w:val="0"/>
              <w:pageBreakBefore w:val="0"/>
              <w:spacing w:line="24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投入设备</w:t>
            </w:r>
            <w:r>
              <w:rPr>
                <w:rFonts w:hint="eastAsia" w:ascii="宋体" w:hAnsi="宋体" w:eastAsia="宋体" w:cs="宋体"/>
                <w:color w:val="auto"/>
                <w:sz w:val="24"/>
                <w:highlight w:val="none"/>
                <w:lang w:val="en-US" w:eastAsia="zh-CN"/>
              </w:rPr>
              <w:t xml:space="preserve">方案</w:t>
            </w:r>
            <w:r/>
          </w:p>
        </w:tc>
        <w:tc>
          <w:tcPr>
            <w:tcW w:w="6280" w:type="dxa"/>
            <w:vAlign w:val="center"/>
            <w:textDirection w:val="lrTb"/>
            <w:noWrap/>
          </w:tcPr>
          <w:p>
            <w:pPr>
              <w:ind w:firstLine="480"/>
              <w:jc w:val="left"/>
              <w:keepLines w:val="0"/>
              <w:pageBreakBefore w:val="0"/>
              <w:spacing w:line="240" w:lineRule="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highlight w:val="none"/>
                <w:lang w:val="en-US" w:eastAsia="zh-CN"/>
              </w:rPr>
              <w:t xml:space="preserve">供应商根据</w:t>
            </w:r>
            <w:r>
              <w:rPr>
                <w:rFonts w:hint="eastAsia" w:ascii="宋体" w:hAnsi="宋体" w:eastAsia="宋体" w:cs="宋体"/>
                <w:color w:val="auto"/>
                <w:sz w:val="24"/>
                <w:szCs w:val="20"/>
                <w:highlight w:val="none"/>
                <w:lang w:val="zh-CN"/>
              </w:rPr>
              <w:t xml:space="preserve">本项目第四章“</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rPr>
              <w:t xml:space="preserve">履行合同所需的设备、工具及耗材</w:t>
            </w:r>
            <w:r>
              <w:rPr>
                <w:rFonts w:hint="eastAsia" w:ascii="宋体" w:hAnsi="宋体" w:eastAsia="宋体" w:cs="宋体"/>
                <w:color w:val="auto"/>
                <w:sz w:val="24"/>
                <w:szCs w:val="20"/>
                <w:highlight w:val="none"/>
                <w:lang w:val="en-US" w:eastAsia="zh-CN"/>
              </w:rPr>
              <w:t xml:space="preserve">要求</w:t>
            </w:r>
            <w:r>
              <w:rPr>
                <w:rFonts w:hint="eastAsia" w:ascii="宋体" w:hAnsi="宋体" w:eastAsia="宋体" w:cs="宋体"/>
                <w:color w:val="auto"/>
                <w:sz w:val="24"/>
                <w:szCs w:val="20"/>
                <w:highlight w:val="none"/>
                <w:lang w:val="zh-CN"/>
              </w:rPr>
              <w:t xml:space="preserve">”</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投标人须根据招标文件的要求承诺配备相应的工具设备，须列详细清单。拟投入工具设备优于项目需求得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（无人机、扫地机器人等智能设备运用方案）</w:t>
            </w:r>
            <w:r>
              <w:rPr>
                <w:rFonts w:hint="eastAsia" w:ascii="宋体" w:hAnsi="宋体" w:eastAsia="宋体" w:cs="宋体"/>
                <w:color w:val="auto"/>
                <w:sz w:val="24"/>
                <w:highlight w:val="none"/>
              </w:rPr>
              <w:t xml:space="preserve">，方案满足项目需求得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0"/>
                <w:highlight w:val="none"/>
                <w:lang w:val="zh-CN"/>
              </w:rPr>
              <w:t xml:space="preserve">不满足或不提供得0分。</w:t>
            </w:r>
            <w:r/>
          </w:p>
          <w:p>
            <w:pPr>
              <w:ind w:firstLine="480"/>
              <w:jc w:val="left"/>
              <w:keepLines w:val="0"/>
              <w:pageBreakBefore w:val="0"/>
              <w:spacing w:line="24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szCs w:val="20"/>
                <w:highlight w:val="none"/>
                <w:lang w:val="en-US" w:eastAsia="zh-CN"/>
              </w:rPr>
              <w:t xml:space="preserve">投标人编制的</w:t>
            </w:r>
            <w:r>
              <w:rPr>
                <w:rFonts w:hint="eastAsia" w:ascii="宋体" w:hAnsi="宋体" w:eastAsia="宋体" w:cs="宋体"/>
                <w:color w:val="auto"/>
                <w:sz w:val="24"/>
                <w:szCs w:val="20"/>
                <w:highlight w:val="none"/>
                <w:lang w:val="zh-CN"/>
              </w:rPr>
              <w:t xml:space="preserve">方案</w:t>
            </w:r>
            <w:r>
              <w:rPr>
                <w:rFonts w:hint="eastAsia" w:ascii="宋体" w:hAnsi="宋体" w:eastAsia="宋体" w:cs="宋体"/>
                <w:color w:val="auto"/>
                <w:sz w:val="24"/>
                <w:szCs w:val="20"/>
                <w:highlight w:val="none"/>
                <w:lang w:val="en-US" w:eastAsia="zh-CN"/>
              </w:rPr>
              <w:t xml:space="preserve">投入工具设备方案详细，</w:t>
            </w:r>
            <w:r>
              <w:rPr>
                <w:rFonts w:hint="eastAsia" w:ascii="宋体" w:hAnsi="宋体" w:eastAsia="宋体" w:cs="宋体"/>
                <w:color w:val="auto"/>
                <w:sz w:val="24"/>
                <w:szCs w:val="20"/>
                <w:highlight w:val="none"/>
                <w:lang w:val="zh-CN"/>
              </w:rPr>
              <w:t xml:space="preserve">完全覆盖招标文件的</w:t>
            </w:r>
            <w:r>
              <w:rPr>
                <w:rFonts w:hint="eastAsia" w:ascii="宋体" w:hAnsi="宋体" w:eastAsia="宋体" w:cs="宋体"/>
                <w:color w:val="auto"/>
                <w:sz w:val="24"/>
                <w:szCs w:val="20"/>
                <w:highlight w:val="none"/>
                <w:lang w:val="en-US" w:eastAsia="zh-CN"/>
              </w:rPr>
              <w:t xml:space="preserve">需求</w:t>
            </w:r>
            <w:r>
              <w:rPr>
                <w:rFonts w:hint="eastAsia" w:ascii="宋体" w:hAnsi="宋体" w:eastAsia="宋体" w:cs="宋体"/>
                <w:color w:val="auto"/>
                <w:sz w:val="24"/>
                <w:szCs w:val="20"/>
                <w:highlight w:val="none"/>
                <w:lang w:val="zh-CN"/>
              </w:rPr>
              <w:t xml:space="preserve">服务内容，</w:t>
            </w:r>
            <w:r>
              <w:rPr>
                <w:rFonts w:hint="eastAsia" w:ascii="宋体" w:hAnsi="宋体" w:eastAsia="宋体" w:cs="宋体"/>
                <w:color w:val="auto"/>
                <w:sz w:val="24"/>
                <w:szCs w:val="20"/>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szCs w:val="20"/>
                <w:highlight w:val="none"/>
                <w:lang w:val="zh-CN"/>
              </w:rPr>
              <w:t xml:space="preserve">方案</w:t>
            </w:r>
            <w:r>
              <w:rPr>
                <w:rFonts w:hint="eastAsia" w:ascii="宋体" w:hAnsi="宋体" w:eastAsia="宋体" w:cs="宋体"/>
                <w:color w:val="auto"/>
                <w:sz w:val="24"/>
                <w:szCs w:val="20"/>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61"/>
              <w:jc w:val="both"/>
              <w:keepLines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r>
    </w:tbl>
    <w:p>
      <w:pPr>
        <w:pStyle w:val="833"/>
        <w:ind w:firstLine="482"/>
        <w:jc w:val="left"/>
        <w:keepLines w:val="0"/>
        <w:keepNext/>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w:t>
      </w:r>
      <w:r>
        <w:rPr>
          <w:u w:val="single"/>
        </w:rPr>
      </w:r>
      <w:r/>
    </w:p>
    <w:p>
      <w:pPr>
        <w:pStyle w:val="833"/>
        <w:ind w:firstLine="482"/>
        <w:jc w:val="left"/>
        <w:keepLines w:val="0"/>
        <w:keepNext/>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上传的“明标”材料中不得出现与服务方案相关的内容，否则作无效标书处理。</w:t>
      </w:r>
      <w:r>
        <w:rPr>
          <w:u w:val="single"/>
        </w:rPr>
      </w:r>
      <w:r/>
    </w:p>
    <w:p>
      <w:pPr>
        <w:rPr>
          <w:rFonts w:hint="eastAsia" w:ascii="宋体" w:hAnsi="宋体" w:eastAsia="宋体" w:cs="宋体"/>
          <w:b/>
          <w:i/>
          <w:iCs/>
          <w:color w:val="auto"/>
          <w:sz w:val="24"/>
          <w:szCs w:val="24"/>
          <w:highlight w:val="none"/>
        </w:rPr>
        <w:sectPr>
          <w:footnotePr/>
          <w:endnotePr/>
          <w:type w:val="nextPage"/>
          <w:pgSz w:w="11906" w:h="16838" w:orient="portrait"/>
          <w:pgMar w:top="1440" w:right="1406" w:bottom="1440" w:left="1406" w:header="851" w:footer="907" w:gutter="0"/>
          <w:cols w:num="1" w:sep="0" w:space="1701" w:equalWidth="1"/>
          <w:docGrid w:linePitch="360"/>
          <w:titlePg/>
        </w:sectPr>
      </w:pPr>
      <w:r>
        <w:rPr>
          <w:rFonts w:hint="eastAsia" w:ascii="宋体" w:hAnsi="宋体" w:eastAsia="宋体" w:cs="宋体"/>
          <w:b/>
          <w:i/>
          <w:iCs/>
          <w:color w:val="auto"/>
          <w:sz w:val="24"/>
          <w:szCs w:val="24"/>
          <w:highlight w:val="none"/>
        </w:rPr>
      </w:r>
      <w:r/>
    </w:p>
    <w:p>
      <w:pPr>
        <w:pStyle w:val="833"/>
        <w:spacing w:line="360" w:lineRule="auto"/>
        <w:rPr>
          <w:rFonts w:hint="eastAsia" w:ascii="宋体" w:hAnsi="宋体" w:eastAsia="宋体" w:cs="宋体"/>
          <w:color w:val="auto"/>
          <w:sz w:val="44"/>
          <w:szCs w:val="44"/>
          <w:highlight w:val="none"/>
        </w:rPr>
        <w:outlineLvl w:val="0"/>
      </w:pPr>
      <w:r/>
      <w:bookmarkStart w:id="17" w:name="_Toc20321"/>
      <w:r>
        <w:rPr>
          <w:rFonts w:hint="eastAsia" w:ascii="宋体" w:hAnsi="宋体" w:eastAsia="宋体" w:cs="宋体"/>
          <w:bCs/>
          <w:color w:val="auto"/>
          <w:sz w:val="44"/>
          <w:highlight w:val="none"/>
        </w:rPr>
        <w:t xml:space="preserve">第六章 投标文件格式</w:t>
      </w:r>
      <w:bookmarkEnd w:id="17"/>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bookmarkStart w:id="18" w:name="_Toc23368"/>
      <w:r>
        <w:rPr>
          <w:rFonts w:hint="eastAsia" w:ascii="宋体" w:hAnsi="宋体" w:eastAsia="宋体" w:cs="宋体"/>
          <w:b/>
          <w:color w:val="auto"/>
          <w:sz w:val="72"/>
          <w:highlight w:val="none"/>
        </w:rPr>
        <w:t xml:space="preserve">投  标  文  件</w:t>
      </w:r>
      <w:bookmarkEnd w:id="18"/>
      <w:r/>
      <w:r/>
    </w:p>
    <w:p>
      <w:pPr>
        <w:pStyle w:val="964"/>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64"/>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64"/>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64"/>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64"/>
        <w:ind w:firstLine="1446"/>
        <w:jc w:val="both"/>
        <w:spacing w:beforeAutospacing="0" w:afterAutospacing="0" w:line="360" w:lineRule="auto"/>
        <w:rPr>
          <w:rFonts w:hint="eastAsia" w:ascii="宋体" w:hAnsi="宋体" w:eastAsia="宋体" w:cs="宋体"/>
          <w:color w:val="auto"/>
          <w:highlight w:val="none"/>
        </w:rPr>
        <w:outlineLvl w:val="9"/>
      </w:pPr>
      <w:r/>
      <w:bookmarkStart w:id="19" w:name="_Toc9337"/>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bookmarkEnd w:id="19"/>
      <w:r>
        <w:rPr>
          <w:rFonts w:hint="eastAsia" w:ascii="宋体" w:hAnsi="宋体" w:eastAsia="宋体" w:cs="宋体"/>
          <w:b/>
          <w:color w:val="auto"/>
          <w:sz w:val="36"/>
          <w:szCs w:val="36"/>
          <w:highlight w:val="none"/>
          <w:u w:val="single"/>
        </w:rPr>
        <w:t xml:space="preserve">       </w:t>
      </w:r>
      <w:r/>
    </w:p>
    <w:p>
      <w:pPr>
        <w:pStyle w:val="964"/>
        <w:ind w:firstLine="1446"/>
        <w:jc w:val="both"/>
        <w:spacing w:beforeAutospacing="0" w:afterAutospacing="0" w:line="360" w:lineRule="auto"/>
        <w:rPr>
          <w:rFonts w:hint="eastAsia" w:ascii="宋体" w:hAnsi="宋体" w:eastAsia="宋体" w:cs="宋体"/>
          <w:b/>
          <w:color w:val="auto"/>
          <w:sz w:val="36"/>
          <w:szCs w:val="36"/>
          <w:highlight w:val="none"/>
          <w:u w:val="single"/>
        </w:rPr>
        <w:outlineLvl w:val="9"/>
      </w:pPr>
      <w:r/>
      <w:bookmarkStart w:id="20" w:name="_Toc24100"/>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bookmarkEnd w:id="20"/>
      <w:r>
        <w:rPr>
          <w:rFonts w:hint="eastAsia" w:ascii="宋体" w:hAnsi="宋体" w:eastAsia="宋体" w:cs="宋体"/>
          <w:b/>
          <w:color w:val="auto"/>
          <w:sz w:val="36"/>
          <w:szCs w:val="36"/>
          <w:highlight w:val="none"/>
          <w:u w:val="single"/>
        </w:rPr>
        <w:t xml:space="preserve"> </w:t>
      </w:r>
      <w:r/>
    </w:p>
    <w:p>
      <w:pPr>
        <w:pStyle w:val="964"/>
        <w:ind w:firstLine="1446"/>
        <w:jc w:val="both"/>
        <w:spacing w:beforeAutospacing="0" w:afterAutospacing="0" w:line="360" w:lineRule="auto"/>
        <w:rPr>
          <w:rFonts w:hint="eastAsia" w:ascii="宋体" w:hAnsi="宋体" w:eastAsia="宋体" w:cs="宋体"/>
          <w:b/>
          <w:color w:val="auto"/>
          <w:sz w:val="36"/>
          <w:szCs w:val="36"/>
          <w:highlight w:val="none"/>
          <w:u w:val="single"/>
        </w:rPr>
        <w:outlineLvl w:val="9"/>
      </w:pPr>
      <w:r/>
      <w:bookmarkStart w:id="21" w:name="_Toc7579"/>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bookmarkEnd w:id="21"/>
      <w:r/>
      <w:r/>
    </w:p>
    <w:p>
      <w:pPr>
        <w:pStyle w:val="964"/>
        <w:ind w:firstLine="1446"/>
        <w:jc w:val="both"/>
        <w:spacing w:beforeAutospacing="0" w:afterAutospacing="0" w:line="360" w:lineRule="auto"/>
        <w:rPr>
          <w:rFonts w:hint="eastAsia" w:ascii="宋体" w:hAnsi="宋体" w:eastAsia="宋体" w:cs="宋体"/>
          <w:color w:val="auto"/>
          <w:highlight w:val="none"/>
        </w:rPr>
        <w:outlineLvl w:val="9"/>
      </w:pPr>
      <w:r/>
      <w:bookmarkStart w:id="22" w:name="_Toc21823"/>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bookmarkEnd w:id="22"/>
      <w:r/>
      <w:r/>
    </w:p>
    <w:p>
      <w:pP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pStyle w:val="96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投标文件目录</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二、上一年度的财务状况</w:t>
      </w:r>
      <w:r>
        <w:rPr>
          <w:rFonts w:hint="eastAsia" w:ascii="宋体" w:hAnsi="宋体" w:eastAsia="宋体" w:cs="宋体"/>
          <w:color w:val="auto"/>
          <w:sz w:val="24"/>
          <w:highlight w:val="none"/>
          <w:lang w:val="en-US" w:eastAsia="zh-CN"/>
        </w:rPr>
        <w:t xml:space="preserve">报告</w:t>
      </w:r>
      <w:r>
        <w:rPr>
          <w:rFonts w:hint="eastAsia" w:ascii="宋体" w:hAnsi="宋体" w:eastAsia="宋体" w:cs="宋体"/>
          <w:color w:val="auto"/>
          <w:sz w:val="24"/>
          <w:highlight w:val="none"/>
        </w:rPr>
        <w:t xml:space="preserve">（至少提供资产负债表、利润表、现金流量表，投标人成立不满一年无需提供）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三、具备履行合同所必需的设备和专业技术能力的书面声明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、法人授权书</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九</w:t>
      </w:r>
      <w:r>
        <w:rPr>
          <w:rFonts w:hint="eastAsia" w:ascii="宋体" w:hAnsi="宋体" w:eastAsia="宋体" w:cs="宋体"/>
          <w:color w:val="auto"/>
          <w:sz w:val="24"/>
          <w:highlight w:val="none"/>
        </w:rPr>
        <w:t xml:space="preserve">、投标函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rPr>
        <w:t xml:space="preserve">、中小微企业声明函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、残疾人福利性单位声明函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、投标分项报价表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、技术要求响应及偏离表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四</w:t>
      </w:r>
      <w:r>
        <w:rPr>
          <w:rFonts w:hint="eastAsia" w:ascii="宋体" w:hAnsi="宋体" w:eastAsia="宋体" w:cs="宋体"/>
          <w:color w:val="auto"/>
          <w:sz w:val="24"/>
          <w:highlight w:val="none"/>
        </w:rPr>
        <w:t xml:space="preserve">、商务要求响应及偏离表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、开标一览表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六</w:t>
      </w:r>
      <w:r>
        <w:rPr>
          <w:rFonts w:hint="eastAsia" w:ascii="宋体" w:hAnsi="宋体" w:eastAsia="宋体" w:cs="宋体"/>
          <w:color w:val="auto"/>
          <w:sz w:val="24"/>
          <w:highlight w:val="none"/>
        </w:rPr>
        <w:t xml:space="preserve">、服务方案等</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、盐城市政府采购事前信用承诺书</w:t>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一、法人或者其他组织的营业执照等证明文件，自然人的</w:t>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身份证明</w:t>
      </w:r>
      <w:r/>
    </w:p>
    <w:p>
      <w:pPr>
        <w:pStyle w:val="779"/>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二、上一年度的财务状况报</w:t>
      </w:r>
      <w:r>
        <w:rPr>
          <w:rFonts w:hint="eastAsia" w:ascii="宋体" w:hAnsi="宋体" w:eastAsia="宋体" w:cs="宋体"/>
          <w:b/>
          <w:bCs/>
          <w:color w:val="auto"/>
          <w:sz w:val="32"/>
          <w:szCs w:val="32"/>
          <w:highlight w:val="none"/>
          <w:lang w:val="en-US" w:eastAsia="zh-CN"/>
        </w:rPr>
        <w:t xml:space="preserve">告</w:t>
      </w:r>
      <w:r/>
    </w:p>
    <w:p>
      <w:pPr>
        <w:pStyle w:val="779"/>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77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三、具备履行合同所必需的设备和专业技术能力的书面声明</w:t>
      </w:r>
      <w:r/>
    </w:p>
    <w:p>
      <w:pPr>
        <w:pStyle w:val="964"/>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64"/>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64"/>
        <w:ind w:firstLine="48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7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四、依法缴纳税收和社会保障资金的相关材料</w:t>
      </w:r>
      <w:r/>
    </w:p>
    <w:p>
      <w:pPr>
        <w:pStyle w:val="964"/>
        <w:jc w:val="both"/>
        <w:spacing w:beforeAutospacing="0" w:afterAutospacing="0" w:line="440" w:lineRule="exact"/>
        <w:rPr>
          <w:rFonts w:hint="eastAsia" w:ascii="宋体" w:hAnsi="宋体" w:eastAsia="宋体" w:cs="宋体"/>
          <w:iCs/>
          <w:color w:val="auto"/>
          <w:sz w:val="32"/>
          <w:szCs w:val="32"/>
          <w:highlight w:val="none"/>
          <w:u w:val="single"/>
        </w:rPr>
      </w:pPr>
      <w:r>
        <w:rPr>
          <w:rFonts w:hint="eastAsia" w:ascii="宋体" w:hAnsi="宋体" w:eastAsia="宋体" w:cs="宋体"/>
          <w:color w:val="auto"/>
          <w:highlight w:val="none"/>
        </w:rPr>
        <w:t xml:space="preserve"> （提交响应文件截止时间前一年内至少一个月依法缴纳税收及缴纳社会保障资金的证明材料。供应商依法享受缓缴、免缴税收、社会保障资金的提供证明材料）</w:t>
      </w:r>
      <w:r/>
    </w:p>
    <w:p>
      <w:pPr>
        <w:pStyle w:val="77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五、参加政府采购活动前 3 年内在经营活动中没有重大违法记录的书面声明</w:t>
      </w:r>
      <w:r/>
    </w:p>
    <w:p>
      <w:pPr>
        <w:pStyle w:val="964"/>
        <w:jc w:val="center"/>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964"/>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79"/>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4"/>
        <w:numPr>
          <w:ilvl w:val="0"/>
          <w:numId w:val="4"/>
        </w:numP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单位负责人为同一人或者存在直接控股、管理关系的不同供应商，不得参加同一合同项下的政府采购活动</w:t>
      </w:r>
      <w:r/>
    </w:p>
    <w:p>
      <w:pPr>
        <w:pStyle w:val="964"/>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4"/>
        <w:jc w:val="center"/>
        <w:spacing w:beforeAutospacing="0" w:afterAutospacing="0" w:line="0" w:lineRule="atLeas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声 明</w:t>
      </w:r>
      <w:r/>
    </w:p>
    <w:p>
      <w:pPr>
        <w:pStyle w:val="964"/>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79"/>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79"/>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79"/>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9"/>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eastAsia="zh-CN"/>
        </w:rPr>
        <w:t xml:space="preserve">七</w:t>
      </w:r>
      <w:r>
        <w:rPr>
          <w:rFonts w:hint="eastAsia" w:ascii="宋体" w:hAnsi="宋体" w:eastAsia="宋体" w:cs="宋体"/>
          <w:i/>
          <w:color w:val="auto"/>
          <w:sz w:val="32"/>
          <w:szCs w:val="32"/>
          <w:highlight w:val="none"/>
          <w:u w:val="single"/>
        </w:rPr>
        <w:t xml:space="preserve">、特定资格要求的证明文件</w:t>
      </w:r>
      <w:r/>
    </w:p>
    <w:p>
      <w:pPr>
        <w:pStyle w:val="779"/>
        <w:jc w:val="center"/>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779"/>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八</w:t>
      </w:r>
      <w:r>
        <w:rPr>
          <w:rFonts w:hint="eastAsia" w:ascii="宋体" w:hAnsi="宋体" w:eastAsia="宋体" w:cs="宋体"/>
          <w:b/>
          <w:bCs/>
          <w:color w:val="auto"/>
          <w:sz w:val="32"/>
          <w:szCs w:val="32"/>
          <w:highlight w:val="none"/>
        </w:rPr>
        <w:t xml:space="preserve">、法人授权书</w:t>
      </w:r>
      <w:r/>
    </w:p>
    <w:p>
      <w:pPr>
        <w:pStyle w:val="964"/>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JSZC-320900-JZCG-G2025-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szCs w:val="20"/>
          <w:highlight w:val="none"/>
          <w:u w:val="single"/>
          <w:lang w:eastAsia="zh-CN"/>
        </w:rPr>
        <w:t xml:space="preserve">盐城市第一人民医院</w:t>
      </w:r>
      <w:r>
        <w:rPr>
          <w:rFonts w:hint="eastAsia" w:ascii="宋体" w:hAnsi="宋体" w:eastAsia="宋体" w:cs="宋体"/>
          <w:color w:val="auto"/>
          <w:szCs w:val="20"/>
          <w:highlight w:val="none"/>
          <w:u w:val="single"/>
          <w:lang w:val="en-US" w:eastAsia="zh-CN"/>
        </w:rPr>
        <w:t xml:space="preserve">南院区</w:t>
      </w:r>
      <w:r>
        <w:rPr>
          <w:rFonts w:hint="eastAsia" w:ascii="宋体" w:hAnsi="宋体" w:eastAsia="宋体" w:cs="宋体"/>
          <w:color w:val="auto"/>
          <w:szCs w:val="20"/>
          <w:highlight w:val="none"/>
          <w:u w:val="single"/>
          <w:lang w:eastAsia="zh-CN"/>
        </w:rPr>
        <w:t xml:space="preserve">物业服务项目</w:t>
      </w:r>
      <w:r>
        <w:rPr>
          <w:rFonts w:hint="eastAsia" w:ascii="宋体" w:hAnsi="宋体" w:eastAsia="宋体" w:cs="宋体"/>
          <w:color w:val="auto"/>
          <w:highlight w:val="none"/>
        </w:rPr>
        <w:t xml:space="preserve">采购活动的合法代理人，以本单位名义全权处理一切与该项目采购有关的事务。</w:t>
      </w:r>
      <w:r/>
    </w:p>
    <w:p>
      <w:pPr>
        <w:pStyle w:val="964"/>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64"/>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964"/>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964"/>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964"/>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964"/>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964"/>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jc w:val="center"/>
        <w:spacing w:beforeAutospacing="0" w:afterAutospacing="0" w:line="0" w:lineRule="atLeast"/>
        <w:rPr>
          <w:rFonts w:hint="eastAsia" w:ascii="宋体" w:hAnsi="宋体" w:eastAsia="宋体" w:cs="宋体"/>
          <w:bCs/>
          <w:iCs/>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bCs/>
          <w:color w:val="auto"/>
          <w:sz w:val="32"/>
          <w:szCs w:val="32"/>
          <w:highlight w:val="none"/>
          <w:lang w:eastAsia="zh-CN"/>
        </w:rPr>
        <w:t xml:space="preserve">九</w:t>
      </w:r>
      <w:r>
        <w:rPr>
          <w:rFonts w:hint="eastAsia" w:ascii="宋体" w:hAnsi="宋体" w:eastAsia="宋体" w:cs="宋体"/>
          <w:b/>
          <w:bCs/>
          <w:color w:val="auto"/>
          <w:sz w:val="32"/>
          <w:szCs w:val="32"/>
          <w:highlight w:val="none"/>
        </w:rPr>
        <w:t xml:space="preserve">、投标函</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致：盐城市政府采购中心</w:t>
      </w:r>
      <w:r/>
    </w:p>
    <w:p>
      <w:pPr>
        <w:ind w:left="479" w:firstLine="64"/>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szCs w:val="20"/>
          <w:highlight w:val="none"/>
        </w:rPr>
        <w:t xml:space="preserve">JSZC-320900-JZCG-G2025-0061</w:t>
      </w:r>
      <w:r>
        <w:rPr>
          <w:rFonts w:hint="eastAsia" w:ascii="宋体" w:hAnsi="宋体" w:eastAsia="宋体" w:cs="宋体"/>
          <w:color w:val="auto"/>
          <w:sz w:val="24"/>
          <w:highlight w:val="none"/>
        </w:rPr>
        <w:t xml:space="preserve">号招标文件，正式授权下述签字人</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______(姓名)代表我方______________（投标人的名称），全权处理本次项目投</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标的有关事宜。</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据此函，__________签字人兹宣布同意如下：</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我方将根据招标文件的规定，严格履行合同的责任和义务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并保证在招标文件规定的时间完成项目，交付买方验收、使用。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 </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日期：______年____月____日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r/>
    </w:p>
    <w:p>
      <w:pPr>
        <w:ind w:firstLine="0"/>
        <w:jc w:val="center"/>
        <w:spacing w:before="240" w:after="240" w:line="240" w:lineRule="auto"/>
        <w:shd w:val="clear" w:color="ffffff" w:themeColor="background1" w:fill="ffffff" w:themeFill="background1"/>
        <w:rPr>
          <w:rFonts w:hint="eastAsia" w:ascii="宋体" w:hAnsi="宋体" w:eastAsia="宋体" w:cs="宋体"/>
          <w:bCs/>
          <w:color w:val="auto"/>
          <w:sz w:val="32"/>
          <w:szCs w:val="32"/>
          <w:highlight w:val="none"/>
        </w:rPr>
      </w:pPr>
      <w:r>
        <w:rPr>
          <w:rFonts w:hint="eastAsia" w:ascii="宋体" w:hAnsi="宋体" w:eastAsia="宋体" w:cs="宋体"/>
          <w:b/>
          <w:bCs/>
          <w:color w:val="auto"/>
          <w:sz w:val="32"/>
          <w:szCs w:val="32"/>
          <w:highlight w:val="none"/>
          <w:lang w:eastAsia="zh-CN"/>
        </w:rPr>
        <w:t xml:space="preserve">十</w:t>
      </w:r>
      <w:r>
        <w:rPr>
          <w:rFonts w:hint="eastAsia" w:ascii="宋体" w:hAnsi="宋体" w:eastAsia="宋体" w:cs="宋体"/>
          <w:b/>
          <w:bCs/>
          <w:color w:val="auto"/>
          <w:sz w:val="32"/>
          <w:szCs w:val="32"/>
          <w:highlight w:val="none"/>
        </w:rPr>
        <w:t xml:space="preserve">、</w:t>
      </w:r>
      <w:r>
        <w:rPr>
          <w:rFonts w:hint="eastAsia" w:ascii="宋体" w:hAnsi="宋体" w:eastAsia="宋体" w:cs="宋体"/>
          <w:bCs/>
          <w:color w:val="auto"/>
          <w:sz w:val="32"/>
          <w:szCs w:val="32"/>
          <w:highlight w:val="none"/>
        </w:rPr>
        <w:t xml:space="preserve">中小企业声明函（服务）</w:t>
      </w:r>
      <w:r/>
    </w:p>
    <w:p>
      <w:p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盐城市第一人民医院南院区物业服务项目</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4"/>
          <w:szCs w:val="20"/>
          <w:highlight w:val="none"/>
          <w:u w:val="single"/>
        </w:rPr>
        <w:t xml:space="preserve">JSZC-320900-JZCG-G2025-0061</w:t>
      </w:r>
      <w:r>
        <w:rPr>
          <w:rFonts w:hint="eastAsia" w:ascii="宋体" w:hAnsi="宋体" w:eastAsia="宋体" w:cs="宋体"/>
          <w:color w:val="auto"/>
          <w:sz w:val="28"/>
          <w:szCs w:val="28"/>
          <w:highlight w:val="none"/>
        </w:rPr>
        <w:t xml:space="preserve">的采购活动，服务全部由符合政策要求的中小企业承接。相关企业（含联合体中的中小企业、签订分包意向协议的中小企业）的具体情况如下：</w:t>
      </w:r>
      <w:r/>
    </w:p>
    <w:p>
      <w:pPr>
        <w:numPr>
          <w:ilvl w:val="0"/>
          <w:numId w:val="5"/>
        </w:num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numPr>
          <w:ilvl w:val="0"/>
          <w:numId w:val="5"/>
        </w:num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iCs/>
          <w:color w:val="auto"/>
          <w:sz w:val="28"/>
          <w:szCs w:val="28"/>
          <w:highlight w:val="none"/>
          <w:u w:val="single"/>
        </w:rPr>
        <w:t xml:space="preserve">（标的名称）</w:t>
      </w:r>
      <w:r>
        <w:rPr>
          <w:rFonts w:hint="eastAsia" w:ascii="宋体" w:hAnsi="宋体" w:eastAsia="宋体" w:cs="宋体"/>
          <w:color w:val="auto"/>
          <w:sz w:val="28"/>
          <w:szCs w:val="28"/>
          <w:highlight w:val="none"/>
        </w:rPr>
        <w:t xml:space="preserve"> ，属于</w:t>
      </w:r>
      <w:r>
        <w:rPr>
          <w:rFonts w:hint="eastAsia" w:ascii="宋体" w:hAnsi="宋体" w:eastAsia="宋体" w:cs="宋体"/>
          <w:iCs/>
          <w:color w:val="auto"/>
          <w:sz w:val="28"/>
          <w:szCs w:val="28"/>
          <w:highlight w:val="none"/>
          <w:u w:val="single"/>
        </w:rPr>
        <w:t xml:space="preserve">（采购文件中明确的所属行业）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iCs/>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iCs/>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w:t>
      </w:r>
      <w:r/>
    </w:p>
    <w:p>
      <w:p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w:t>
      </w:r>
      <w:r>
        <w:rPr>
          <w:rFonts w:hint="eastAsia" w:ascii="宋体" w:hAnsi="宋体" w:eastAsia="宋体" w:cs="宋体"/>
          <w:color w:val="auto"/>
          <w:spacing w:val="-8"/>
          <w:sz w:val="28"/>
          <w:szCs w:val="28"/>
          <w:highlight w:val="none"/>
        </w:rPr>
        <w:t xml:space="preserve">企业对上述声明内容的真实性负责。如有虚假，将依法承担相应责任。</w:t>
      </w:r>
      <w:r/>
    </w:p>
    <w:p>
      <w:p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56"/>
        <w:jc w:val="center"/>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企业名称（加盖CA电子公章）：</w:t>
      </w:r>
      <w:r/>
    </w:p>
    <w:p>
      <w:pPr>
        <w:ind w:firstLine="2156"/>
        <w:jc w:val="center"/>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  期：</w:t>
      </w:r>
      <w:r/>
    </w:p>
    <w:p>
      <w:pPr>
        <w:ind w:firstLine="560"/>
        <w:jc w:val="both"/>
        <w:spacing w:line="500" w:lineRule="exact"/>
        <w:shd w:val="clear" w:color="ffffff" w:themeColor="background1" w:fill="ffffff" w:themeFill="background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500" w:lineRule="exact"/>
        <w:shd w:val="clear" w:color="ffffff" w:themeColor="background1" w:fill="ffffff" w:themeFill="background1"/>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备注1：从业人员、营业收入、资产总额填报上一年度数据，无上一年度数据的新成立企业可不填报。</w:t>
      </w:r>
      <w:r/>
    </w:p>
    <w:p>
      <w:pPr>
        <w:ind w:firstLine="480"/>
        <w:spacing w:line="500" w:lineRule="exact"/>
        <w:shd w:val="clear" w:color="ffffff" w:themeColor="background1" w:fill="ffffff" w:themeFill="background1"/>
        <w:rPr>
          <w:rFonts w:hint="eastAsia" w:ascii="宋体" w:hAnsi="宋体" w:eastAsia="宋体" w:cs="宋体"/>
          <w:i/>
          <w:color w:val="auto"/>
          <w:sz w:val="34"/>
          <w:szCs w:val="32"/>
          <w:highlight w:val="none"/>
          <w:u w:val="single"/>
        </w:rPr>
      </w:pPr>
      <w:r>
        <w:rPr>
          <w:rFonts w:hint="eastAsia" w:ascii="宋体" w:hAnsi="宋体" w:eastAsia="宋体" w:cs="宋体"/>
          <w:color w:val="auto"/>
          <w:sz w:val="26"/>
          <w:highlight w:val="none"/>
        </w:rPr>
        <w:t xml:space="preserve">备注2：供应商如不提供此声明函，价格将不做相应扣除（如项目全面面向中小企业，则资格审查不通过）。</w:t>
      </w:r>
      <w:r>
        <w:rPr>
          <w:rFonts w:hint="eastAsia" w:ascii="宋体" w:hAnsi="宋体" w:eastAsia="宋体" w:cs="宋体"/>
          <w:bCs/>
          <w:color w:val="auto"/>
          <w:sz w:val="32"/>
          <w:szCs w:val="32"/>
          <w:highlight w:val="non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、残疾人福利性单位声明函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w:t>
      </w:r>
      <w:r>
        <w:rPr>
          <w:rFonts w:hint="eastAsia" w:ascii="宋体" w:hAnsi="宋体" w:eastAsia="宋体" w:cs="宋体"/>
          <w:color w:val="auto"/>
          <w:sz w:val="24"/>
          <w:highlight w:val="none"/>
          <w:u w:val="single"/>
          <w:lang w:eastAsia="zh-CN"/>
        </w:rPr>
        <w:t xml:space="preserve">盐城市第一人民医院</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szCs w:val="20"/>
          <w:highlight w:val="none"/>
          <w:u w:val="single"/>
        </w:rPr>
        <w:t xml:space="preserve">JSZC-320900-JZCG-G2025-0061</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0"/>
          <w:highlight w:val="none"/>
          <w:u w:val="single"/>
          <w:lang w:eastAsia="zh-CN"/>
        </w:rPr>
        <w:t xml:space="preserve">盐城市第一人民医院</w:t>
      </w:r>
      <w:r>
        <w:rPr>
          <w:rFonts w:hint="eastAsia" w:ascii="宋体" w:hAnsi="宋体" w:eastAsia="宋体" w:cs="宋体"/>
          <w:color w:val="auto"/>
          <w:sz w:val="24"/>
          <w:szCs w:val="20"/>
          <w:highlight w:val="none"/>
          <w:u w:val="single"/>
          <w:lang w:val="en-US" w:eastAsia="zh-CN"/>
        </w:rPr>
        <w:t xml:space="preserve">南院区</w:t>
      </w:r>
      <w:r>
        <w:rPr>
          <w:rFonts w:hint="eastAsia" w:ascii="宋体" w:hAnsi="宋体" w:eastAsia="宋体" w:cs="宋体"/>
          <w:color w:val="auto"/>
          <w:sz w:val="24"/>
          <w:szCs w:val="20"/>
          <w:highlight w:val="none"/>
          <w:u w:val="single"/>
          <w:lang w:eastAsia="zh-CN"/>
        </w:rPr>
        <w:t xml:space="preserve">物业服务项目</w:t>
      </w:r>
      <w:r>
        <w:rPr>
          <w:rFonts w:hint="eastAsia" w:ascii="宋体" w:hAnsi="宋体" w:eastAsia="宋体" w:cs="宋体"/>
          <w:color w:val="auto"/>
          <w:sz w:val="24"/>
          <w:highlight w:val="none"/>
        </w:rPr>
        <w:t xml:space="preserve">采购活动由本单位提供服务。</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firstLine="480"/>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二</w:t>
      </w:r>
      <w:r>
        <w:rPr>
          <w:rFonts w:hint="eastAsia" w:ascii="宋体" w:hAnsi="宋体" w:eastAsia="宋体" w:cs="宋体"/>
          <w:b/>
          <w:bCs/>
          <w:color w:val="auto"/>
          <w:sz w:val="32"/>
          <w:szCs w:val="32"/>
          <w:highlight w:val="none"/>
        </w:rPr>
        <w:t xml:space="preserve">、投标分项报价表</w:t>
      </w:r>
      <w:r/>
    </w:p>
    <w:tbl>
      <w:tblPr>
        <w:tblStyle w:val="758"/>
        <w:tblW w:w="10049" w:type="dxa"/>
        <w:tblInd w:w="-152" w:type="dxa"/>
        <w:tblLayout w:type="fixed"/>
        <w:tblCellMar>
          <w:left w:w="108" w:type="dxa"/>
          <w:top w:w="0" w:type="dxa"/>
          <w:right w:w="108" w:type="dxa"/>
          <w:bottom w:w="0" w:type="dxa"/>
        </w:tblCellMar>
        <w:tblLook w:val="04A0" w:firstRow="1" w:lastRow="0" w:firstColumn="1" w:lastColumn="0" w:noHBand="0" w:noVBand="1"/>
      </w:tblPr>
      <w:tblGrid>
        <w:gridCol w:w="450"/>
        <w:gridCol w:w="2385"/>
        <w:gridCol w:w="1032"/>
        <w:gridCol w:w="691"/>
        <w:gridCol w:w="1479"/>
        <w:gridCol w:w="1240"/>
        <w:gridCol w:w="2772"/>
      </w:tblGrid>
      <w:tr>
        <w:trPr>
          <w:trHeight w:val="537"/>
        </w:trPr>
        <w:tc>
          <w:tcPr>
            <w:gridSpan w:val="7"/>
            <w:shd w:val="clear" w:color="auto" w:fill="auto"/>
            <w:tcBorders>
              <w:top w:val="none" w:color="000000" w:sz="4" w:space="0"/>
              <w:left w:val="none" w:color="000000" w:sz="4" w:space="0"/>
              <w:bottom w:val="none" w:color="000000" w:sz="4" w:space="0"/>
              <w:right w:val="none" w:color="000000" w:sz="4" w:space="0"/>
            </w:tcBorders>
            <w:tcW w:w="10049" w:type="dxa"/>
            <w:vAlign w:val="center"/>
            <w:textDirection w:val="lrTb"/>
            <w:noWrap/>
          </w:tcPr>
          <w:p>
            <w:pPr>
              <w:ind w:firstLine="562"/>
              <w:jc w:val="center"/>
              <w:spacing w:line="40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盐城市</w:t>
            </w:r>
            <w:r>
              <w:rPr>
                <w:rFonts w:hint="eastAsia" w:ascii="宋体" w:hAnsi="宋体" w:eastAsia="宋体" w:cs="宋体"/>
                <w:b/>
                <w:bCs/>
                <w:color w:val="auto"/>
                <w:sz w:val="28"/>
                <w:szCs w:val="28"/>
                <w:highlight w:val="none"/>
                <w:lang w:val="en-US" w:eastAsia="zh-CN"/>
              </w:rPr>
              <w:t xml:space="preserve">第一人民医院南院区</w:t>
            </w:r>
            <w:r>
              <w:rPr>
                <w:rFonts w:hint="eastAsia" w:ascii="宋体" w:hAnsi="宋体" w:eastAsia="宋体" w:cs="宋体"/>
                <w:b/>
                <w:bCs/>
                <w:color w:val="auto"/>
                <w:sz w:val="28"/>
                <w:szCs w:val="28"/>
                <w:highlight w:val="none"/>
              </w:rPr>
              <w:t xml:space="preserve">物业服务项目投标分项报价表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spacing w:line="400" w:lineRule="exact"/>
              <w:widowControl/>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费用名称</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30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单价</w:t>
            </w:r>
            <w:r/>
          </w:p>
          <w:p>
            <w:pPr>
              <w:jc w:val="center"/>
              <w:spacing w:line="30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30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总价（元/12个月）</w:t>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40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备注</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 xml:space="preserve">所有人员工资</w:t>
            </w:r>
            <w:r>
              <w:rPr>
                <w:rFonts w:hint="eastAsia" w:ascii="宋体" w:hAnsi="宋体" w:eastAsia="宋体" w:cs="宋体"/>
                <w:b/>
                <w:bCs/>
                <w:color w:val="auto"/>
                <w:sz w:val="20"/>
                <w:szCs w:val="20"/>
                <w:highlight w:val="none"/>
                <w:lang w:eastAsia="zh-CN"/>
              </w:rPr>
              <w:t xml:space="preserve">单价</w:t>
            </w:r>
            <w:r>
              <w:rPr>
                <w:rFonts w:hint="eastAsia" w:ascii="宋体" w:hAnsi="宋体" w:eastAsia="宋体" w:cs="宋体"/>
                <w:b/>
                <w:bCs/>
                <w:color w:val="auto"/>
                <w:sz w:val="20"/>
                <w:szCs w:val="20"/>
                <w:highlight w:val="none"/>
              </w:rPr>
              <w:t xml:space="preserve">不低于本市最低工资标准2260元/人/每月</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区域组长</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录字员</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收费员</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导医</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窗口登记</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tabs>
                <w:tab w:val="left" w:pos="201" w:leader="none"/>
              </w:tabs>
              <w:rPr>
                <w:rFonts w:hint="eastAsia" w:ascii="宋体" w:hAnsi="宋体" w:eastAsia="宋体" w:cs="宋体"/>
                <w:color w:val="auto"/>
                <w:sz w:val="20"/>
                <w:szCs w:val="20"/>
                <w:highlight w:val="none"/>
                <w:lang w:val="en-US"/>
              </w:rPr>
            </w:pPr>
            <w:r>
              <w:rPr>
                <w:rFonts w:hint="eastAsia" w:ascii="宋体" w:hAnsi="宋体" w:eastAsia="宋体" w:cs="宋体"/>
                <w:color w:val="auto"/>
                <w:sz w:val="20"/>
                <w:szCs w:val="20"/>
                <w:highlight w:val="none"/>
                <w:lang w:val="en-US"/>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供应室</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手术室</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静脉配置中心</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病案室</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总务科仓库</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设备科仓库</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中心药房</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门急诊药房</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住院部药房</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绿色通道</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陪检</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收成标</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夜班</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大夜班</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水电班</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搬运组</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门急诊保洁，公区</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住院部保洁，裙楼，公区</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生活垃圾</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医疗垃圾</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外围</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护理助理员</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4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药剂助理员</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jc w:val="center"/>
              <w:spacing w:line="400" w:lineRule="exact"/>
              <w:widowControl/>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4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2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ind w:firstLine="360"/>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0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所有人员必须足额缴纳社保费用，社保（企业部分）不得低于</w:t>
            </w:r>
            <w:r>
              <w:rPr>
                <w:rFonts w:hint="eastAsia" w:ascii="宋体" w:hAnsi="宋体" w:eastAsia="宋体" w:cs="宋体"/>
                <w:b/>
                <w:bCs/>
                <w:color w:val="auto"/>
                <w:sz w:val="20"/>
                <w:szCs w:val="20"/>
                <w:highlight w:val="none"/>
                <w:lang w:val="en-US" w:eastAsia="zh-CN"/>
              </w:rPr>
              <w:t xml:space="preserve">1292.47</w:t>
            </w:r>
            <w:r>
              <w:rPr>
                <w:rFonts w:hint="eastAsia" w:ascii="宋体" w:hAnsi="宋体" w:eastAsia="宋体" w:cs="宋体"/>
                <w:b/>
                <w:bCs/>
                <w:color w:val="auto"/>
                <w:sz w:val="20"/>
                <w:szCs w:val="20"/>
                <w:highlight w:val="none"/>
              </w:rPr>
              <w:t xml:space="preserve">元/人/每月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ind w:firstLine="360"/>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0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住房公积金不得低于</w:t>
            </w:r>
            <w:r>
              <w:rPr>
                <w:rFonts w:hint="eastAsia" w:ascii="宋体" w:hAnsi="宋体" w:eastAsia="宋体" w:cs="宋体"/>
                <w:b/>
                <w:bCs/>
                <w:color w:val="auto"/>
                <w:sz w:val="20"/>
                <w:szCs w:val="20"/>
                <w:highlight w:val="none"/>
                <w:lang w:val="en-US" w:eastAsia="zh-CN"/>
              </w:rPr>
              <w:t xml:space="preserve">114</w:t>
            </w:r>
            <w:r>
              <w:rPr>
                <w:rFonts w:hint="eastAsia" w:ascii="宋体" w:hAnsi="宋体" w:eastAsia="宋体" w:cs="宋体"/>
                <w:b/>
                <w:bCs/>
                <w:color w:val="auto"/>
                <w:sz w:val="20"/>
                <w:szCs w:val="20"/>
                <w:highlight w:val="none"/>
              </w:rPr>
              <w:t xml:space="preserve">元/人/每月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ind w:firstLine="360"/>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特殊岗位津贴</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特殊岗位补贴是除 2260元/人/月工资外的特殊补贴，该项目水电工</w:t>
            </w:r>
            <w:r>
              <w:rPr>
                <w:rFonts w:hint="eastAsia" w:ascii="宋体" w:hAnsi="宋体" w:eastAsia="宋体" w:cs="宋体"/>
                <w:color w:val="auto"/>
                <w:sz w:val="20"/>
                <w:szCs w:val="20"/>
                <w:highlight w:val="none"/>
                <w:lang w:val="en-US" w:eastAsia="zh-CN"/>
              </w:rPr>
              <w:t xml:space="preserve">等特殊工种</w:t>
            </w:r>
            <w:r>
              <w:rPr>
                <w:rFonts w:hint="eastAsia" w:ascii="宋体" w:hAnsi="宋体" w:eastAsia="宋体" w:cs="宋体"/>
                <w:color w:val="auto"/>
                <w:sz w:val="20"/>
                <w:szCs w:val="20"/>
                <w:highlight w:val="none"/>
              </w:rPr>
              <w:t xml:space="preserve">共</w:t>
            </w:r>
            <w:r>
              <w:rPr>
                <w:rFonts w:hint="eastAsia" w:ascii="宋体" w:hAnsi="宋体" w:eastAsia="宋体" w:cs="宋体"/>
                <w:b w:val="0"/>
                <w:bCs w:val="0"/>
                <w:color w:val="auto"/>
                <w:sz w:val="20"/>
                <w:szCs w:val="20"/>
                <w:highlight w:val="none"/>
                <w:lang w:val="en-US" w:eastAsia="zh-CN"/>
              </w:rPr>
              <w:t xml:space="preserve">45</w:t>
            </w:r>
            <w:r>
              <w:rPr>
                <w:rFonts w:hint="eastAsia" w:ascii="宋体" w:hAnsi="宋体" w:eastAsia="宋体" w:cs="宋体"/>
                <w:color w:val="auto"/>
                <w:sz w:val="20"/>
                <w:szCs w:val="20"/>
                <w:highlight w:val="none"/>
              </w:rPr>
              <w:t xml:space="preserve">人，特殊岗位补贴1000元/人/月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ind w:firstLine="360"/>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right"/>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法定节假日加班费不得低于4052.41元/人/每年，</w:t>
            </w:r>
            <w:r>
              <w:rPr>
                <w:rFonts w:hint="eastAsia" w:ascii="宋体" w:hAnsi="宋体" w:eastAsia="宋体" w:cs="宋体"/>
                <w:color w:val="auto"/>
                <w:sz w:val="20"/>
                <w:szCs w:val="20"/>
                <w:highlight w:val="none"/>
                <w:lang w:val="en-US" w:eastAsia="zh-CN"/>
              </w:rPr>
              <w:t xml:space="preserve">人数</w:t>
            </w:r>
            <w:r>
              <w:rPr>
                <w:rFonts w:hint="eastAsia" w:ascii="宋体" w:hAnsi="宋体" w:eastAsia="宋体" w:cs="宋体"/>
                <w:color w:val="auto"/>
                <w:sz w:val="20"/>
                <w:szCs w:val="20"/>
                <w:highlight w:val="none"/>
              </w:rPr>
              <w:t xml:space="preserve">按</w:t>
            </w:r>
            <w:r>
              <w:rPr>
                <w:rFonts w:hint="eastAsia" w:ascii="宋体" w:hAnsi="宋体" w:eastAsia="宋体" w:cs="宋体"/>
                <w:color w:val="auto"/>
                <w:sz w:val="20"/>
                <w:szCs w:val="20"/>
                <w:highlight w:val="none"/>
                <w:lang w:val="en-US" w:eastAsia="zh-CN"/>
              </w:rPr>
              <w:t xml:space="preserve">221</w:t>
            </w:r>
            <w:r>
              <w:rPr>
                <w:rFonts w:hint="eastAsia" w:ascii="宋体" w:hAnsi="宋体" w:eastAsia="宋体" w:cs="宋体"/>
                <w:color w:val="auto"/>
                <w:sz w:val="20"/>
                <w:szCs w:val="20"/>
                <w:highlight w:val="none"/>
              </w:rPr>
              <w:t xml:space="preserve">人数加班计算。</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spacing w:line="3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ind w:firstLine="360"/>
              <w:jc w:val="center"/>
              <w:spacing w:line="3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right"/>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center"/>
              <w:spacing w:line="300" w:lineRule="exact"/>
              <w:widowControl/>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lang w:val="en-US" w:eastAsia="zh-CN"/>
              </w:rPr>
              <w:t xml:space="preserve">服装</w:t>
            </w:r>
            <w:r>
              <w:rPr>
                <w:rFonts w:hint="eastAsia" w:ascii="宋体" w:hAnsi="宋体" w:eastAsia="宋体" w:cs="宋体"/>
                <w:b/>
                <w:bCs/>
                <w:color w:val="auto"/>
                <w:sz w:val="20"/>
                <w:szCs w:val="20"/>
                <w:highlight w:val="none"/>
              </w:rPr>
              <w:t xml:space="preserve">费不得低于</w:t>
            </w:r>
            <w:r>
              <w:rPr>
                <w:rFonts w:hint="eastAsia" w:ascii="宋体" w:hAnsi="宋体" w:eastAsia="宋体" w:cs="宋体"/>
                <w:b/>
                <w:bCs/>
                <w:color w:val="auto"/>
                <w:sz w:val="20"/>
                <w:szCs w:val="20"/>
                <w:highlight w:val="none"/>
                <w:lang w:val="en-US" w:eastAsia="zh-CN"/>
              </w:rPr>
              <w:t xml:space="preserve">200</w:t>
            </w:r>
            <w:r>
              <w:rPr>
                <w:rFonts w:hint="eastAsia" w:ascii="宋体" w:hAnsi="宋体" w:eastAsia="宋体" w:cs="宋体"/>
                <w:b/>
                <w:bCs/>
                <w:color w:val="auto"/>
                <w:sz w:val="20"/>
                <w:szCs w:val="20"/>
                <w:highlight w:val="none"/>
              </w:rPr>
              <w:t xml:space="preserve">元/人/每年，</w:t>
            </w:r>
            <w:r>
              <w:rPr>
                <w:rFonts w:hint="eastAsia" w:ascii="宋体" w:hAnsi="宋体" w:eastAsia="宋体" w:cs="宋体"/>
                <w:b/>
                <w:bCs/>
                <w:color w:val="auto"/>
                <w:sz w:val="20"/>
                <w:szCs w:val="20"/>
                <w:highlight w:val="none"/>
                <w:lang w:val="en-US" w:eastAsia="zh-CN"/>
              </w:rPr>
              <w:t xml:space="preserve">人数</w:t>
            </w:r>
            <w:r>
              <w:rPr>
                <w:rFonts w:hint="eastAsia" w:ascii="宋体" w:hAnsi="宋体" w:eastAsia="宋体" w:cs="宋体"/>
                <w:b/>
                <w:bCs/>
                <w:color w:val="auto"/>
                <w:sz w:val="20"/>
                <w:szCs w:val="20"/>
                <w:highlight w:val="none"/>
              </w:rPr>
              <w:t xml:space="preserve">按</w:t>
            </w:r>
            <w:r>
              <w:rPr>
                <w:rFonts w:hint="eastAsia" w:ascii="宋体" w:hAnsi="宋体" w:eastAsia="宋体" w:cs="宋体"/>
                <w:b/>
                <w:bCs/>
                <w:color w:val="auto"/>
                <w:sz w:val="20"/>
                <w:szCs w:val="20"/>
                <w:highlight w:val="none"/>
                <w:lang w:val="en-US" w:eastAsia="zh-CN"/>
              </w:rPr>
              <w:t xml:space="preserve">315</w:t>
            </w:r>
            <w:r>
              <w:rPr>
                <w:rFonts w:hint="eastAsia" w:ascii="宋体" w:hAnsi="宋体" w:eastAsia="宋体" w:cs="宋体"/>
                <w:b/>
                <w:bCs/>
                <w:color w:val="auto"/>
                <w:sz w:val="20"/>
                <w:szCs w:val="20"/>
                <w:highlight w:val="none"/>
              </w:rPr>
              <w:t xml:space="preserve">人数计算。</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综合管理费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left"/>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left"/>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left"/>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pageBreakBefore w:val="0"/>
              <w:spacing w:line="240" w:lineRule="atLeast"/>
              <w:widowControl/>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jc w:val="center"/>
              <w:keepLines w:val="0"/>
              <w:keepNext w:val="0"/>
              <w:pageBreakBefore w:val="0"/>
              <w:spacing w:line="240" w:lineRule="atLeast"/>
              <w:widowControl/>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left"/>
              <w:keepLines w:val="0"/>
              <w:keepNext w:val="0"/>
              <w:pageBreakBefore w:val="0"/>
              <w:spacing w:line="240" w:lineRule="atLeast"/>
              <w:widowControl/>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left"/>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lang w:val="en-US" w:eastAsia="zh-CN"/>
              </w:rPr>
              <w:t xml:space="preserve">八=</w:t>
            </w:r>
            <w:r>
              <w:rPr>
                <w:rFonts w:hint="eastAsia" w:ascii="宋体" w:hAnsi="宋体" w:eastAsia="宋体" w:cs="宋体"/>
                <w:b w:val="0"/>
                <w:bCs w:val="0"/>
                <w:color w:val="auto"/>
                <w:sz w:val="18"/>
                <w:szCs w:val="18"/>
                <w:highlight w:val="none"/>
              </w:rPr>
              <w:t xml:space="preserve">（一+二+三+四</w:t>
            </w:r>
            <w:r>
              <w:rPr>
                <w:rFonts w:hint="eastAsia" w:ascii="宋体" w:hAnsi="宋体" w:eastAsia="宋体" w:cs="宋体"/>
                <w:b w:val="0"/>
                <w:bCs w:val="0"/>
                <w:color w:val="auto"/>
                <w:sz w:val="18"/>
                <w:szCs w:val="18"/>
                <w:highlight w:val="none"/>
                <w:lang w:val="en-US" w:eastAsia="zh-CN"/>
              </w:rPr>
              <w:t xml:space="preserve">+......+七</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w:t>
            </w:r>
            <w:r>
              <w:rPr>
                <w:rFonts w:hint="eastAsia" w:ascii="宋体" w:hAnsi="宋体" w:eastAsia="宋体" w:cs="宋体"/>
                <w:b w:val="0"/>
                <w:bCs w:val="0"/>
                <w:color w:val="auto"/>
                <w:sz w:val="18"/>
                <w:szCs w:val="18"/>
                <w:highlight w:val="none"/>
              </w:rPr>
              <w:t xml:space="preserve">税</w:t>
            </w:r>
            <w:r>
              <w:rPr>
                <w:rFonts w:hint="eastAsia" w:ascii="宋体" w:hAnsi="宋体" w:eastAsia="宋体" w:cs="宋体"/>
                <w:b w:val="0"/>
                <w:bCs w:val="0"/>
                <w:color w:val="auto"/>
                <w:sz w:val="18"/>
                <w:szCs w:val="18"/>
                <w:highlight w:val="none"/>
                <w:lang w:val="en-US" w:eastAsia="zh-CN"/>
              </w:rPr>
              <w:t xml:space="preserve">金费率不得低于</w:t>
            </w:r>
            <w:r>
              <w:rPr>
                <w:rFonts w:hint="eastAsia" w:ascii="宋体" w:hAnsi="宋体" w:eastAsia="宋体" w:cs="宋体"/>
                <w:b w:val="0"/>
                <w:bCs w:val="0"/>
                <w:color w:val="auto"/>
                <w:sz w:val="18"/>
                <w:szCs w:val="18"/>
                <w:highlight w:val="none"/>
              </w:rPr>
              <w:t xml:space="preserve">6.72%</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jc w:val="both"/>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b w:val="0"/>
                <w:bCs w:val="0"/>
                <w:color w:val="auto"/>
                <w:sz w:val="18"/>
                <w:szCs w:val="18"/>
                <w:highlight w:val="none"/>
              </w:rPr>
              <w:t xml:space="preserve">总价（元）=（一+二+</w:t>
            </w:r>
            <w:r>
              <w:rPr>
                <w:rFonts w:hint="eastAsia" w:ascii="宋体" w:hAnsi="宋体" w:eastAsia="宋体" w:cs="宋体"/>
                <w:b w:val="0"/>
                <w:bCs w:val="0"/>
                <w:color w:val="auto"/>
                <w:sz w:val="18"/>
                <w:szCs w:val="18"/>
                <w:highlight w:val="none"/>
                <w:lang w:eastAsia="zh-CN"/>
              </w:rPr>
              <w:t xml:space="preserve">……</w:t>
            </w:r>
            <w:r>
              <w:rPr>
                <w:rFonts w:hint="eastAsia" w:ascii="宋体" w:hAnsi="宋体" w:eastAsia="宋体" w:cs="宋体"/>
                <w:b w:val="0"/>
                <w:bCs w:val="0"/>
                <w:color w:val="auto"/>
                <w:sz w:val="18"/>
                <w:szCs w:val="18"/>
                <w:highlight w:val="none"/>
              </w:rPr>
              <w:t xml:space="preserve">+</w:t>
            </w:r>
            <w:r>
              <w:rPr>
                <w:rFonts w:hint="eastAsia" w:ascii="宋体" w:hAnsi="宋体" w:eastAsia="宋体" w:cs="宋体"/>
                <w:b w:val="0"/>
                <w:bCs w:val="0"/>
                <w:color w:val="auto"/>
                <w:sz w:val="18"/>
                <w:szCs w:val="18"/>
                <w:highlight w:val="none"/>
                <w:lang w:val="en-US" w:eastAsia="zh-CN"/>
              </w:rPr>
              <w:t xml:space="preserve">八</w:t>
            </w:r>
            <w:r>
              <w:rPr>
                <w:rFonts w:hint="eastAsia" w:ascii="宋体" w:hAnsi="宋体" w:eastAsia="宋体" w:cs="宋体"/>
                <w:b w:val="0"/>
                <w:bCs w:val="0"/>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72" w:type="dxa"/>
            <w:vAlign w:val="center"/>
            <w:textDirection w:val="lrTb"/>
            <w:noWrap/>
          </w:tcPr>
          <w:p>
            <w:pPr>
              <w:jc w:val="left"/>
              <w:keepLines w:val="0"/>
              <w:keepNext w:val="0"/>
              <w:pageBreakBefore w:val="0"/>
              <w:spacing w:line="24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ind w:firstLine="470"/>
        <w:spacing w:line="500" w:lineRule="exact"/>
        <w:rPr>
          <w:rFonts w:hint="eastAsia" w:ascii="宋体" w:hAnsi="宋体" w:eastAsia="宋体" w:cs="宋体"/>
          <w:i/>
          <w:color w:val="auto"/>
          <w:sz w:val="32"/>
          <w:szCs w:val="32"/>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b/>
          <w:i/>
          <w:iCs/>
          <w:color w:val="auto"/>
          <w:sz w:val="24"/>
          <w:highlight w:val="none"/>
          <w:u w:val="single"/>
        </w:rPr>
        <w:t xml:space="preserve">投标人</w:t>
      </w:r>
      <w:r>
        <w:rPr>
          <w:rFonts w:hint="eastAsia" w:ascii="宋体" w:hAnsi="宋体" w:eastAsia="宋体" w:cs="宋体"/>
          <w:b/>
          <w:bCs/>
          <w:i/>
          <w:iCs/>
          <w:color w:val="auto"/>
          <w:sz w:val="24"/>
          <w:highlight w:val="none"/>
          <w:u w:val="single"/>
        </w:rPr>
        <w:t xml:space="preserve">所提供人员的费用不得低于上述标准进行测算，</w:t>
      </w:r>
      <w:r>
        <w:rPr>
          <w:rFonts w:hint="eastAsia" w:ascii="宋体" w:hAnsi="宋体" w:eastAsia="宋体" w:cs="宋体"/>
          <w:b/>
          <w:i/>
          <w:iCs/>
          <w:color w:val="auto"/>
          <w:sz w:val="24"/>
          <w:highlight w:val="none"/>
          <w:u w:val="single"/>
        </w:rPr>
        <w:t xml:space="preserve">否则</w:t>
      </w:r>
      <w:r>
        <w:rPr>
          <w:rFonts w:hint="eastAsia" w:ascii="宋体" w:hAnsi="宋体" w:eastAsia="宋体" w:cs="宋体"/>
          <w:b/>
          <w:bCs/>
          <w:i/>
          <w:iCs/>
          <w:color w:val="auto"/>
          <w:sz w:val="24"/>
          <w:highlight w:val="none"/>
          <w:u w:val="single"/>
        </w:rPr>
        <w:t xml:space="preserve">视为未实质性响应招标文件要求</w:t>
      </w:r>
      <w:r>
        <w:rPr>
          <w:rFonts w:hint="eastAsia" w:ascii="宋体" w:hAnsi="宋体" w:eastAsia="宋体" w:cs="宋体"/>
          <w:b/>
          <w:i/>
          <w:iCs/>
          <w:color w:val="auto"/>
          <w:sz w:val="24"/>
          <w:highlight w:val="none"/>
        </w:rPr>
        <w:t xml:space="preserve">。</w:t>
      </w:r>
      <w:r>
        <w:rPr>
          <w:rFonts w:hint="eastAsia" w:ascii="宋体" w:hAnsi="宋体" w:eastAsia="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三</w:t>
      </w:r>
      <w:r>
        <w:rPr>
          <w:rFonts w:hint="eastAsia" w:ascii="宋体" w:hAnsi="宋体" w:eastAsia="宋体" w:cs="宋体"/>
          <w:b/>
          <w:bCs/>
          <w:color w:val="auto"/>
          <w:sz w:val="32"/>
          <w:szCs w:val="32"/>
          <w:highlight w:val="none"/>
        </w:rPr>
        <w:t xml:space="preserve">、技术要求响应及偏离表</w:t>
      </w:r>
      <w:r/>
    </w:p>
    <w:p>
      <w:pPr>
        <w:pStyle w:val="964"/>
        <w:jc w:val="both"/>
        <w:spacing w:beforeAutospacing="0" w:afterAutospacing="0"/>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58"/>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439"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06"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729"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729"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69"/>
        </w:trPr>
        <w:tc>
          <w:tcPr>
            <w:tcW w:w="834"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69"/>
        </w:trPr>
        <w:tc>
          <w:tcPr>
            <w:tcW w:w="834"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439" w:type="dxa"/>
            <w:vAlign w:val="center"/>
            <w:textDirection w:val="lrTb"/>
            <w:noWrap/>
          </w:tcPr>
          <w:p>
            <w:pPr>
              <w:pStyle w:val="964"/>
              <w:ind w:firstLine="4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30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729"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6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6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四</w:t>
      </w:r>
      <w:r>
        <w:rPr>
          <w:rFonts w:hint="eastAsia" w:ascii="宋体" w:hAnsi="宋体" w:eastAsia="宋体" w:cs="宋体"/>
          <w:b/>
          <w:bCs/>
          <w:color w:val="auto"/>
          <w:sz w:val="32"/>
          <w:szCs w:val="32"/>
          <w:highlight w:val="none"/>
        </w:rPr>
        <w:t xml:space="preserve">、商务要求响应及偏离表</w:t>
      </w:r>
      <w:r/>
    </w:p>
    <w:p>
      <w:pPr>
        <w:pStyle w:val="964"/>
        <w:jc w:val="both"/>
        <w:spacing w:beforeAutospacing="0" w:afterAutospacing="0"/>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58"/>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258"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76"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932"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932" w:type="dxa"/>
            <w:vAlign w:val="center"/>
            <w:textDirection w:val="lrTb"/>
            <w:noWrap/>
          </w:tcPr>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6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74"/>
        </w:trPr>
        <w:tc>
          <w:tcPr>
            <w:tcW w:w="820"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4"/>
        </w:trPr>
        <w:tc>
          <w:tcPr>
            <w:tcW w:w="820"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58"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76"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932" w:type="dxa"/>
            <w:vAlign w:val="center"/>
            <w:textDirection w:val="lrTb"/>
            <w:noWrap/>
          </w:tcPr>
          <w:p>
            <w:pPr>
              <w:pStyle w:val="964"/>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6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64"/>
        <w:ind w:firstLine="60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jc w:val="center"/>
        <w:spacing w:beforeAutospacing="0" w:afterAutospacing="0" w:line="0" w:lineRule="atLeast"/>
        <w:rPr>
          <w:rFonts w:hint="eastAsia" w:ascii="宋体" w:hAnsi="宋体" w:eastAsia="宋体" w:cs="宋体"/>
          <w:bCs/>
          <w:color w:val="auto"/>
          <w:sz w:val="32"/>
          <w:szCs w:val="32"/>
          <w:highlight w:val="none"/>
        </w:rPr>
      </w:pPr>
      <w:r>
        <w:rPr>
          <w:rFonts w:hint="eastAsia" w:ascii="宋体" w:hAnsi="宋体" w:eastAsia="宋体" w:cs="宋体"/>
          <w:b/>
          <w:i/>
          <w:color w:val="auto"/>
          <w:sz w:val="32"/>
          <w:szCs w:val="32"/>
          <w:highlight w:val="none"/>
          <w:u w:val="single"/>
        </w:rPr>
        <w:br w:type="page" w:clear="all"/>
      </w: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五</w:t>
      </w:r>
      <w:r>
        <w:rPr>
          <w:rFonts w:hint="eastAsia" w:ascii="宋体" w:hAnsi="宋体" w:eastAsia="宋体" w:cs="宋体"/>
          <w:b/>
          <w:bCs/>
          <w:color w:val="auto"/>
          <w:sz w:val="32"/>
          <w:szCs w:val="32"/>
          <w:highlight w:val="none"/>
        </w:rPr>
        <w:t xml:space="preserve">、开标一览表</w:t>
      </w:r>
      <w:r/>
    </w:p>
    <w:p>
      <w:pPr>
        <w:pStyle w:val="779"/>
        <w:ind w:firstLine="48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964"/>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964"/>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p>
      <w:pPr>
        <w:pStyle w:val="964"/>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分包号：</w:t>
      </w:r>
      <w:r>
        <w:rPr>
          <w:rFonts w:hint="eastAsia" w:ascii="宋体" w:hAnsi="宋体" w:eastAsia="宋体" w:cs="宋体"/>
          <w:color w:val="auto"/>
          <w:highlight w:val="none"/>
        </w:rPr>
        <w:t xml:space="preserve">     </w:t>
      </w:r>
      <w:r/>
    </w:p>
    <w:tbl>
      <w:tblPr>
        <w:tblStyle w:val="758"/>
        <w:tblW w:w="9060" w:type="dxa"/>
        <w:tblCellSpacing w:w="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blCellSpacing w:w="0" w:type="dxa"/>
          <w:trHeight w:val="1158"/>
        </w:trPr>
        <w:tc>
          <w:tcPr>
            <w:tcW w:w="9060" w:type="dxa"/>
            <w:vAlign w:val="center"/>
            <w:textDirection w:val="lrTb"/>
            <w:noWrap/>
          </w:tcPr>
          <w:p>
            <w:pPr>
              <w:pStyle w:val="964"/>
              <w:jc w:val="center"/>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1070"/>
        </w:trPr>
        <w:tc>
          <w:tcPr>
            <w:tcW w:w="9060" w:type="dxa"/>
            <w:vAlign w:val="center"/>
            <w:textDirection w:val="lrTb"/>
            <w:noWrap/>
          </w:tcPr>
          <w:p>
            <w:pPr>
              <w:pStyle w:val="964"/>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大写：                </w:t>
            </w:r>
            <w:r/>
          </w:p>
        </w:tc>
      </w:tr>
      <w:tr>
        <w:trPr>
          <w:tblCellSpacing w:w="0" w:type="dxa"/>
          <w:trHeight w:val="1070"/>
        </w:trPr>
        <w:tc>
          <w:tcPr>
            <w:tcW w:w="9060" w:type="dxa"/>
            <w:vAlign w:val="center"/>
            <w:textDirection w:val="lrTb"/>
            <w:noWrap/>
          </w:tcPr>
          <w:p>
            <w:pPr>
              <w:pStyle w:val="964"/>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小写：   </w:t>
            </w:r>
            <w:r>
              <w:rPr>
                <w:rFonts w:hint="eastAsia" w:ascii="宋体" w:hAnsi="宋体" w:eastAsia="宋体" w:cs="宋体"/>
                <w:color w:val="auto"/>
                <w:highlight w:val="none"/>
              </w:rPr>
              <w:t xml:space="preserve"> （人民币：元）</w:t>
            </w:r>
            <w:r/>
          </w:p>
        </w:tc>
      </w:tr>
    </w:tbl>
    <w:p>
      <w:pPr>
        <w:pStyle w:val="964"/>
        <w:ind w:firstLine="60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64"/>
        <w:ind w:firstLine="480"/>
        <w:jc w:val="right"/>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64"/>
        <w:ind w:firstLine="600"/>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64"/>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六</w:t>
      </w:r>
      <w:r>
        <w:rPr>
          <w:rFonts w:hint="eastAsia" w:ascii="宋体" w:hAnsi="宋体" w:eastAsia="宋体" w:cs="宋体"/>
          <w:b/>
          <w:bCs/>
          <w:color w:val="auto"/>
          <w:sz w:val="32"/>
          <w:szCs w:val="32"/>
          <w:highlight w:val="none"/>
        </w:rPr>
        <w:t xml:space="preserve">、服务方案等</w:t>
      </w:r>
      <w:r/>
    </w:p>
    <w:p>
      <w:pPr>
        <w:pStyle w:val="971"/>
        <w:jc w:val="both"/>
        <w:spacing w:beforeAutospacing="0" w:afterAutospacing="0"/>
        <w:tabs>
          <w:tab w:val="left" w:pos="2160" w:leader="none"/>
        </w:tabs>
        <w:rPr>
          <w:rFonts w:hint="eastAsia" w:ascii="宋体" w:hAnsi="宋体" w:eastAsia="宋体" w:cs="宋体"/>
          <w:b/>
          <w:iCs/>
          <w:color w:val="auto"/>
          <w:highlight w:val="none"/>
        </w:rPr>
      </w:pPr>
      <w:r>
        <w:rPr>
          <w:rFonts w:hint="eastAsia" w:ascii="宋体" w:hAnsi="宋体" w:eastAsia="宋体" w:cs="宋体"/>
          <w:b/>
          <w:iCs/>
          <w:color w:val="auto"/>
          <w:highlight w:val="none"/>
        </w:rPr>
      </w:r>
      <w:r/>
    </w:p>
    <w:p>
      <w:pPr>
        <w:ind w:firstLine="482"/>
        <w:spacing w:before="50" w:after="50"/>
        <w:rPr>
          <w:rFonts w:hint="eastAsia" w:ascii="宋体" w:hAnsi="宋体" w:eastAsia="宋体" w:cs="宋体"/>
          <w:b/>
          <w:bCs/>
          <w:i/>
          <w:iCs/>
          <w:color w:val="auto"/>
          <w:sz w:val="24"/>
          <w:szCs w:val="20"/>
          <w:highlight w:val="none"/>
        </w:rPr>
      </w:pPr>
      <w:r>
        <w:rPr>
          <w:rFonts w:hint="eastAsia" w:ascii="宋体" w:hAnsi="宋体" w:eastAsia="宋体" w:cs="宋体"/>
          <w:b/>
          <w:bCs/>
          <w:i/>
          <w:iCs/>
          <w:color w:val="auto"/>
          <w:sz w:val="24"/>
          <w:szCs w:val="20"/>
          <w:highlight w:val="non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w:t>
      </w:r>
      <w:r/>
    </w:p>
    <w:p>
      <w:pPr>
        <w:ind w:firstLine="482"/>
        <w:spacing w:before="50" w:after="50"/>
        <w:rPr>
          <w:rFonts w:hint="eastAsia" w:ascii="宋体" w:hAnsi="宋体" w:eastAsia="宋体" w:cs="宋体"/>
          <w:b/>
          <w:color w:val="auto"/>
          <w:sz w:val="36"/>
          <w:highlight w:val="none"/>
        </w:rPr>
      </w:pPr>
      <w:r>
        <w:rPr>
          <w:rFonts w:hint="eastAsia" w:ascii="宋体" w:hAnsi="宋体" w:eastAsia="宋体" w:cs="宋体"/>
          <w:b/>
          <w:bCs/>
          <w:i/>
          <w:iCs/>
          <w:color w:val="auto"/>
          <w:sz w:val="24"/>
          <w:szCs w:val="20"/>
          <w:highlight w:val="none"/>
        </w:rPr>
        <w:t xml:space="preserve">上传的“明标”材料中不得出现与服务方案相关的内容，否则作无效标书处理。</w:t>
      </w:r>
      <w:r/>
    </w:p>
    <w:p>
      <w:pPr>
        <w:pStyle w:val="964"/>
        <w:jc w:val="center"/>
        <w:spacing w:beforeAutospacing="0" w:afterAutospacing="0" w:line="0" w:lineRule="atLeas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64"/>
        <w:jc w:val="center"/>
        <w:spacing w:beforeAutospacing="0" w:afterAutospacing="0" w:line="0" w:lineRule="atLeast"/>
        <w:rPr>
          <w:rFonts w:hint="eastAsia" w:ascii="宋体" w:hAnsi="宋体" w:eastAsia="宋体" w:cs="宋体"/>
          <w:bCs/>
          <w:i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日</w:t>
      </w:r>
      <w:r/>
    </w:p>
    <w:p>
      <w:pPr>
        <w:pStyle w:val="779"/>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79"/>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79"/>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79"/>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79"/>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79"/>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9"/>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79"/>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79"/>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79"/>
        <w:ind w:firstLine="480"/>
        <w:spacing w:beforeAutospacing="0" w:afterAutospacing="0" w:line="360" w:lineRule="auto"/>
        <w:widowControl/>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406" w:bottom="1440" w:left="140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黑体">
    <w:panose1 w:val="02010609060101010101"/>
  </w:font>
  <w:font w:name="仿宋">
    <w:panose1 w:val="02010609060101010101"/>
  </w:font>
  <w:font w:name="Courier New">
    <w:panose1 w:val="02070309020205020404"/>
  </w:font>
  <w:font w:name="Arial">
    <w:panose1 w:val="020B0604020202020204"/>
  </w:font>
  <w:font w:name="Symbol">
    <w:panose1 w:val="05050102010706020507"/>
  </w:font>
  <w:font w:name="楷体">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framePr w:wrap="around" w:vAnchor="text" w:hAnchor="margin" w:xAlign="center" w:y="1"/>
    </w:pPr>
    <w:r>
      <w:fldChar w:fldCharType="begin"/>
    </w:r>
    <w:r>
      <w:rPr>
        <w:rStyle w:val="848"/>
      </w:rPr>
      <w:instrText xml:space="preserve">PAGE  </w:instrText>
    </w:r>
    <w:r>
      <w:fldChar w:fldCharType="separate"/>
    </w:r>
    <w:r>
      <w:rPr>
        <w:rStyle w:val="848"/>
      </w:rPr>
      <w:t xml:space="preserve">1</w:t>
    </w:r>
    <w:r>
      <w:fldChar w:fldCharType="end"/>
    </w:r>
    <w:r/>
  </w:p>
  <w:p>
    <w:pPr>
      <w:pStyle w:val="8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fldSimple w:instr="PAGE \* MERGEFORMAT">
      <w:r>
        <w:t xml:space="preserve">1</w:t>
      </w:r>
    </w:fldSimple>
    <w:r/>
    <w:r/>
  </w:p>
  <w:p>
    <w:pPr>
      <w:pStyle w:val="10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left" w:pos="3565" w:leader="none"/>
      </w:tabs>
      <w:rPr>
        <w:color w:val="000000"/>
      </w:rPr>
      <w:pBdr>
        <w:bottom w:val="none" w:color="000000" w:sz="0" w:space="1"/>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spacing w:line="400" w:lineRule="exact"/>
      <w:rPr>
        <w:color w:val="000000"/>
      </w:rPr>
    </w:pPr>
    <w:r>
      <w:rPr>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4">
    <w:name w:val="Heading 1"/>
    <w:basedOn w:val="753"/>
    <w:next w:val="753"/>
    <w:link w:val="1037"/>
    <w:uiPriority w:val="9"/>
    <w:qFormat/>
    <w:pPr>
      <w:keepLines/>
      <w:keepNext/>
      <w:spacing w:before="340" w:after="330" w:line="578" w:lineRule="auto"/>
      <w:outlineLvl w:val="0"/>
    </w:pPr>
    <w:rPr>
      <w:b/>
      <w:bCs/>
      <w:sz w:val="44"/>
      <w:szCs w:val="44"/>
    </w:rPr>
  </w:style>
  <w:style w:type="paragraph" w:styleId="755">
    <w:name w:val="Heading 2"/>
    <w:basedOn w:val="753"/>
    <w:next w:val="753"/>
    <w:uiPriority w:val="0"/>
    <w:unhideWhenUsed/>
    <w:qFormat/>
    <w:pPr>
      <w:ind w:firstLine="200"/>
      <w:keepLines/>
      <w:keepNext/>
      <w:spacing w:line="300" w:lineRule="auto"/>
      <w:outlineLvl w:val="1"/>
    </w:pPr>
    <w:rPr>
      <w:rFonts w:ascii="Calibri" w:hAnsi="Calibri"/>
      <w:b/>
      <w:bCs/>
      <w:szCs w:val="32"/>
    </w:rPr>
  </w:style>
  <w:style w:type="paragraph" w:styleId="756">
    <w:name w:val="Heading 3"/>
    <w:basedOn w:val="753"/>
    <w:next w:val="753"/>
    <w:uiPriority w:val="0"/>
    <w:unhideWhenUsed/>
    <w:qFormat/>
    <w:pPr>
      <w:ind w:firstLine="200"/>
      <w:spacing w:line="300" w:lineRule="auto"/>
      <w:widowControl/>
      <w:outlineLvl w:val="2"/>
    </w:pPr>
    <w:rPr>
      <w:rFonts w:ascii="Calibri" w:hAnsi="Calibri"/>
      <w:b/>
      <w:szCs w:val="20"/>
    </w:rPr>
  </w:style>
  <w:style w:type="character" w:styleId="757" w:default="1">
    <w:name w:val="Default Paragraph Font"/>
    <w:uiPriority w:val="1"/>
    <w:qFormat/>
  </w:style>
  <w:style w:type="table" w:styleId="758" w:default="1">
    <w:name w:val="Normal Table"/>
    <w:uiPriority w:val="99"/>
    <w:qFormat/>
    <w:tblPr>
      <w:tblCellMar>
        <w:left w:w="108" w:type="dxa"/>
        <w:top w:w="0" w:type="dxa"/>
        <w:right w:w="108" w:type="dxa"/>
        <w:bottom w:w="0" w:type="dxa"/>
      </w:tblCellMar>
    </w:tblPr>
  </w:style>
  <w:style w:type="paragraph" w:styleId="759">
    <w:name w:val="toc 7"/>
    <w:basedOn w:val="753"/>
    <w:next w:val="753"/>
    <w:uiPriority w:val="39"/>
    <w:qFormat/>
    <w:pPr>
      <w:ind w:left="1701"/>
      <w:spacing w:after="57"/>
    </w:pPr>
  </w:style>
  <w:style w:type="paragraph" w:styleId="760">
    <w:name w:val="annotation text"/>
    <w:basedOn w:val="753"/>
    <w:uiPriority w:val="0"/>
    <w:qFormat/>
    <w:pPr>
      <w:jc w:val="left"/>
    </w:pPr>
  </w:style>
  <w:style w:type="paragraph" w:styleId="761">
    <w:name w:val="Body Text"/>
    <w:basedOn w:val="753"/>
    <w:uiPriority w:val="0"/>
    <w:qFormat/>
    <w:rPr>
      <w:rFonts w:ascii="楷体" w:hAnsi="Arial" w:eastAsia="楷体"/>
      <w:sz w:val="28"/>
      <w:szCs w:val="28"/>
    </w:rPr>
  </w:style>
  <w:style w:type="paragraph" w:styleId="762">
    <w:name w:val="toc 5"/>
    <w:basedOn w:val="753"/>
    <w:next w:val="753"/>
    <w:uiPriority w:val="39"/>
    <w:qFormat/>
    <w:pPr>
      <w:ind w:left="1134"/>
      <w:spacing w:after="57"/>
    </w:pPr>
  </w:style>
  <w:style w:type="paragraph" w:styleId="763">
    <w:name w:val="toc 3"/>
    <w:basedOn w:val="753"/>
    <w:next w:val="753"/>
    <w:uiPriority w:val="39"/>
    <w:qFormat/>
    <w:pPr>
      <w:ind w:left="567"/>
      <w:spacing w:after="57"/>
    </w:pPr>
  </w:style>
  <w:style w:type="paragraph" w:styleId="764">
    <w:name w:val="Plain Text"/>
    <w:basedOn w:val="753"/>
    <w:uiPriority w:val="0"/>
    <w:qFormat/>
    <w:rPr>
      <w:rFonts w:ascii="宋体" w:hAnsi="Courier New" w:eastAsia="楷体"/>
      <w:sz w:val="28"/>
      <w:szCs w:val="20"/>
    </w:rPr>
  </w:style>
  <w:style w:type="paragraph" w:styleId="765">
    <w:name w:val="toc 8"/>
    <w:basedOn w:val="753"/>
    <w:next w:val="753"/>
    <w:uiPriority w:val="39"/>
    <w:qFormat/>
    <w:pPr>
      <w:ind w:left="1984"/>
      <w:spacing w:after="57"/>
    </w:pPr>
  </w:style>
  <w:style w:type="paragraph" w:styleId="766">
    <w:name w:val="endnote text"/>
    <w:basedOn w:val="753"/>
    <w:link w:val="916"/>
    <w:uiPriority w:val="99"/>
    <w:qFormat/>
    <w:rPr>
      <w:sz w:val="20"/>
    </w:rPr>
  </w:style>
  <w:style w:type="paragraph" w:styleId="767">
    <w:name w:val="Balloon Text"/>
    <w:basedOn w:val="753"/>
    <w:link w:val="875"/>
    <w:uiPriority w:val="99"/>
    <w:qFormat/>
    <w:rPr>
      <w:sz w:val="18"/>
      <w:szCs w:val="18"/>
    </w:rPr>
  </w:style>
  <w:style w:type="paragraph" w:styleId="768">
    <w:name w:val="Footer"/>
    <w:basedOn w:val="753"/>
    <w:link w:val="839"/>
    <w:uiPriority w:val="99"/>
    <w:qFormat/>
    <w:pPr>
      <w:jc w:val="left"/>
      <w:tabs>
        <w:tab w:val="center" w:pos="4153" w:leader="none"/>
        <w:tab w:val="right" w:pos="8306" w:leader="none"/>
      </w:tabs>
    </w:pPr>
    <w:rPr>
      <w:sz w:val="18"/>
      <w:szCs w:val="18"/>
    </w:rPr>
  </w:style>
  <w:style w:type="paragraph" w:styleId="769">
    <w:name w:val="Header"/>
    <w:basedOn w:val="753"/>
    <w:link w:val="986"/>
    <w:uiPriority w:val="99"/>
    <w:qFormat/>
    <w:pPr>
      <w:jc w:val="center"/>
      <w:tabs>
        <w:tab w:val="center" w:pos="4153" w:leader="none"/>
        <w:tab w:val="right" w:pos="8306" w:leader="none"/>
      </w:tabs>
      <w:pBdr>
        <w:bottom w:val="single" w:color="auto" w:sz="6" w:space="1"/>
      </w:pBdr>
    </w:pPr>
    <w:rPr>
      <w:sz w:val="18"/>
      <w:szCs w:val="18"/>
    </w:rPr>
  </w:style>
  <w:style w:type="paragraph" w:styleId="770">
    <w:name w:val="toc 1"/>
    <w:basedOn w:val="753"/>
    <w:next w:val="753"/>
    <w:uiPriority w:val="39"/>
    <w:qFormat/>
    <w:pPr>
      <w:spacing w:after="57"/>
    </w:pPr>
  </w:style>
  <w:style w:type="paragraph" w:styleId="771">
    <w:name w:val="toc 4"/>
    <w:basedOn w:val="753"/>
    <w:next w:val="753"/>
    <w:uiPriority w:val="39"/>
    <w:qFormat/>
    <w:pPr>
      <w:ind w:left="850"/>
      <w:spacing w:after="57"/>
    </w:pPr>
  </w:style>
  <w:style w:type="paragraph" w:styleId="772">
    <w:name w:val="Subtitle"/>
    <w:basedOn w:val="753"/>
    <w:next w:val="753"/>
    <w:link w:val="819"/>
    <w:uiPriority w:val="11"/>
    <w:qFormat/>
    <w:pPr>
      <w:spacing w:before="200" w:after="200"/>
    </w:pPr>
    <w:rPr>
      <w:sz w:val="24"/>
    </w:rPr>
  </w:style>
  <w:style w:type="paragraph" w:styleId="773">
    <w:name w:val="footnote text"/>
    <w:basedOn w:val="753"/>
    <w:link w:val="817"/>
    <w:uiPriority w:val="99"/>
    <w:qFormat/>
    <w:pPr>
      <w:spacing w:after="40"/>
    </w:pPr>
    <w:rPr>
      <w:sz w:val="18"/>
    </w:rPr>
  </w:style>
  <w:style w:type="paragraph" w:styleId="774">
    <w:name w:val="toc 6"/>
    <w:basedOn w:val="753"/>
    <w:next w:val="753"/>
    <w:uiPriority w:val="39"/>
    <w:qFormat/>
    <w:pPr>
      <w:ind w:left="1417"/>
      <w:spacing w:after="57"/>
    </w:pPr>
  </w:style>
  <w:style w:type="paragraph" w:styleId="775">
    <w:name w:val="Body Text Indent 3"/>
    <w:basedOn w:val="753"/>
    <w:uiPriority w:val="0"/>
    <w:qFormat/>
    <w:pPr>
      <w:ind w:left="645" w:firstLine="645"/>
    </w:pPr>
    <w:rPr>
      <w:rFonts w:ascii="Arial" w:hAnsi="Arial" w:eastAsia="仿宋" w:cs="Arial"/>
      <w:color w:val="ffff00"/>
      <w:sz w:val="32"/>
      <w:szCs w:val="32"/>
    </w:rPr>
  </w:style>
  <w:style w:type="paragraph" w:styleId="776">
    <w:name w:val="table of figures"/>
    <w:basedOn w:val="753"/>
    <w:next w:val="753"/>
    <w:uiPriority w:val="99"/>
    <w:qFormat/>
  </w:style>
  <w:style w:type="paragraph" w:styleId="777">
    <w:name w:val="toc 2"/>
    <w:basedOn w:val="753"/>
    <w:next w:val="753"/>
    <w:uiPriority w:val="39"/>
    <w:qFormat/>
    <w:pPr>
      <w:ind w:left="283"/>
      <w:spacing w:after="57"/>
    </w:pPr>
  </w:style>
  <w:style w:type="paragraph" w:styleId="778">
    <w:name w:val="toc 9"/>
    <w:basedOn w:val="753"/>
    <w:next w:val="753"/>
    <w:uiPriority w:val="39"/>
    <w:qFormat/>
    <w:pPr>
      <w:ind w:left="2268"/>
      <w:spacing w:after="57"/>
    </w:pPr>
  </w:style>
  <w:style w:type="paragraph" w:styleId="779">
    <w:name w:val="Normal (Web)"/>
    <w:basedOn w:val="753"/>
    <w:uiPriority w:val="0"/>
    <w:qFormat/>
    <w:pPr>
      <w:jc w:val="left"/>
      <w:spacing w:beforeAutospacing="1" w:afterAutospacing="1"/>
    </w:pPr>
    <w:rPr>
      <w:sz w:val="24"/>
    </w:rPr>
  </w:style>
  <w:style w:type="paragraph" w:styleId="780">
    <w:name w:val="Title"/>
    <w:basedOn w:val="753"/>
    <w:next w:val="753"/>
    <w:link w:val="818"/>
    <w:uiPriority w:val="10"/>
    <w:qFormat/>
    <w:pPr>
      <w:contextualSpacing/>
      <w:spacing w:before="300" w:after="200"/>
    </w:pPr>
    <w:rPr>
      <w:sz w:val="48"/>
      <w:szCs w:val="48"/>
    </w:rPr>
  </w:style>
  <w:style w:type="paragraph" w:styleId="781">
    <w:name w:val="Body Text First Indent"/>
    <w:basedOn w:val="753"/>
    <w:next w:val="753"/>
    <w:uiPriority w:val="99"/>
    <w:qFormat/>
    <w:pPr>
      <w:ind w:firstLine="420"/>
    </w:p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qFormat/>
    <w:rPr>
      <w:vertAlign w:val="superscript"/>
    </w:rPr>
  </w:style>
  <w:style w:type="character" w:styleId="784">
    <w:name w:val="Hyperlink"/>
    <w:uiPriority w:val="99"/>
    <w:qFormat/>
    <w:rPr>
      <w:color w:val="0000ff"/>
      <w:u w:val="single"/>
    </w:rPr>
  </w:style>
  <w:style w:type="character" w:styleId="785">
    <w:name w:val="annotation reference"/>
    <w:basedOn w:val="757"/>
    <w:uiPriority w:val="99"/>
    <w:qFormat/>
    <w:rPr>
      <w:sz w:val="21"/>
      <w:szCs w:val="21"/>
    </w:rPr>
  </w:style>
  <w:style w:type="character" w:styleId="786">
    <w:name w:val="footnote reference"/>
    <w:uiPriority w:val="99"/>
    <w:qFormat/>
    <w:rPr>
      <w:vertAlign w:val="superscript"/>
    </w:rPr>
  </w:style>
  <w:style w:type="character" w:styleId="787" w:customStyle="1">
    <w:name w:val="Heading 1 Char"/>
    <w:basedOn w:val="757"/>
    <w:uiPriority w:val="9"/>
    <w:qFormat/>
    <w:rPr>
      <w:rFonts w:ascii="Arial" w:hAnsi="Arial" w:eastAsia="Arial" w:cs="Arial"/>
      <w:sz w:val="40"/>
      <w:szCs w:val="40"/>
    </w:rPr>
  </w:style>
  <w:style w:type="character" w:styleId="788" w:customStyle="1">
    <w:name w:val="Heading 2 Char"/>
    <w:basedOn w:val="757"/>
    <w:uiPriority w:val="9"/>
    <w:qFormat/>
    <w:rPr>
      <w:rFonts w:ascii="Arial" w:hAnsi="Arial" w:eastAsia="Arial" w:cs="Arial"/>
      <w:sz w:val="34"/>
    </w:rPr>
  </w:style>
  <w:style w:type="character" w:styleId="789" w:customStyle="1">
    <w:name w:val="Heading 3 Char"/>
    <w:basedOn w:val="757"/>
    <w:uiPriority w:val="9"/>
    <w:qFormat/>
    <w:rPr>
      <w:rFonts w:ascii="Arial" w:hAnsi="Arial" w:eastAsia="Arial" w:cs="Arial"/>
      <w:sz w:val="30"/>
      <w:szCs w:val="30"/>
    </w:rPr>
  </w:style>
  <w:style w:type="character" w:styleId="790" w:customStyle="1">
    <w:name w:val="Heading 4 Char"/>
    <w:basedOn w:val="757"/>
    <w:uiPriority w:val="9"/>
    <w:qFormat/>
    <w:rPr>
      <w:rFonts w:ascii="Arial" w:hAnsi="Arial" w:eastAsia="Arial" w:cs="Arial"/>
      <w:b/>
      <w:bCs/>
      <w:sz w:val="26"/>
      <w:szCs w:val="26"/>
    </w:rPr>
  </w:style>
  <w:style w:type="character" w:styleId="791" w:customStyle="1">
    <w:name w:val="Heading 5 Char"/>
    <w:basedOn w:val="757"/>
    <w:uiPriority w:val="9"/>
    <w:qFormat/>
    <w:rPr>
      <w:rFonts w:ascii="Arial" w:hAnsi="Arial" w:eastAsia="Arial" w:cs="Arial"/>
      <w:b/>
      <w:bCs/>
      <w:sz w:val="24"/>
      <w:szCs w:val="24"/>
    </w:rPr>
  </w:style>
  <w:style w:type="character" w:styleId="792" w:customStyle="1">
    <w:name w:val="Heading 6 Char"/>
    <w:basedOn w:val="757"/>
    <w:uiPriority w:val="9"/>
    <w:qFormat/>
    <w:rPr>
      <w:rFonts w:ascii="Arial" w:hAnsi="Arial" w:eastAsia="Arial" w:cs="Arial"/>
      <w:b/>
      <w:bCs/>
      <w:sz w:val="22"/>
      <w:szCs w:val="22"/>
    </w:rPr>
  </w:style>
  <w:style w:type="character" w:styleId="793" w:customStyle="1">
    <w:name w:val="Heading 7 Char"/>
    <w:basedOn w:val="757"/>
    <w:uiPriority w:val="9"/>
    <w:qFormat/>
    <w:rPr>
      <w:rFonts w:ascii="Arial" w:hAnsi="Arial" w:eastAsia="Arial" w:cs="Arial"/>
      <w:b/>
      <w:bCs/>
      <w:i/>
      <w:iCs/>
      <w:sz w:val="22"/>
      <w:szCs w:val="22"/>
    </w:rPr>
  </w:style>
  <w:style w:type="character" w:styleId="794" w:customStyle="1">
    <w:name w:val="Heading 8 Char"/>
    <w:basedOn w:val="757"/>
    <w:uiPriority w:val="9"/>
    <w:qFormat/>
    <w:rPr>
      <w:rFonts w:ascii="Arial" w:hAnsi="Arial" w:eastAsia="Arial" w:cs="Arial"/>
      <w:i/>
      <w:iCs/>
      <w:sz w:val="22"/>
      <w:szCs w:val="22"/>
    </w:rPr>
  </w:style>
  <w:style w:type="character" w:styleId="795" w:customStyle="1">
    <w:name w:val="Heading 9 Char"/>
    <w:basedOn w:val="757"/>
    <w:uiPriority w:val="9"/>
    <w:qFormat/>
    <w:rPr>
      <w:rFonts w:ascii="Arial" w:hAnsi="Arial" w:eastAsia="Arial" w:cs="Arial"/>
      <w:i/>
      <w:iCs/>
      <w:sz w:val="21"/>
      <w:szCs w:val="21"/>
    </w:rPr>
  </w:style>
  <w:style w:type="character" w:styleId="796" w:customStyle="1">
    <w:name w:val="Title Char"/>
    <w:basedOn w:val="757"/>
    <w:uiPriority w:val="10"/>
    <w:qFormat/>
    <w:rPr>
      <w:sz w:val="48"/>
      <w:szCs w:val="48"/>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Header Char"/>
    <w:basedOn w:val="757"/>
    <w:uiPriority w:val="99"/>
    <w:qFormat/>
  </w:style>
  <w:style w:type="character" w:styleId="800" w:customStyle="1">
    <w:name w:val="Footer Char"/>
    <w:basedOn w:val="757"/>
    <w:uiPriority w:val="99"/>
    <w:qFormat/>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表格正文"/>
    <w:basedOn w:val="753"/>
    <w:next w:val="753"/>
    <w:uiPriority w:val="0"/>
    <w:qFormat/>
    <w:pPr>
      <w:jc w:val="left"/>
      <w:spacing w:line="440" w:lineRule="exact"/>
    </w:pPr>
    <w:rPr>
      <w:rFonts w:cs="Times New Roman"/>
      <w:szCs w:val="21"/>
    </w:rPr>
  </w:style>
  <w:style w:type="table" w:styleId="803"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05" w:customStyle="1">
    <w:name w:val="Heading 7"/>
    <w:basedOn w:val="753"/>
    <w:next w:val="753"/>
    <w:link w:val="822"/>
    <w:uiPriority w:val="9"/>
    <w:qFormat/>
    <w:pPr>
      <w:keepLines/>
      <w:keepNext/>
      <w:spacing w:before="320" w:after="200"/>
      <w:outlineLvl w:val="6"/>
    </w:pPr>
    <w:rPr>
      <w:rFonts w:ascii="Arial" w:hAnsi="Arial" w:eastAsia="Arial" w:cs="Arial"/>
      <w:b/>
      <w:bCs/>
      <w:i/>
      <w:iCs/>
      <w:sz w:val="22"/>
      <w:szCs w:val="22"/>
    </w:rPr>
  </w:style>
  <w:style w:type="paragraph" w:styleId="806" w:customStyle="1">
    <w:name w:val="正文文本缩进12"/>
    <w:basedOn w:val="753"/>
    <w:next w:val="807"/>
    <w:uiPriority w:val="0"/>
    <w:qFormat/>
    <w:pPr>
      <w:ind w:firstLine="645"/>
    </w:pPr>
    <w:rPr>
      <w:rFonts w:ascii="楷体" w:eastAsia="楷体"/>
      <w:sz w:val="32"/>
      <w:szCs w:val="32"/>
    </w:rPr>
  </w:style>
  <w:style w:type="paragraph" w:styleId="807" w:customStyle="1">
    <w:name w:val="寄信人地址11"/>
    <w:basedOn w:val="753"/>
    <w:uiPriority w:val="0"/>
    <w:qFormat/>
    <w:pPr>
      <w:ind w:firstLine="420"/>
      <w:jc w:val="left"/>
      <w:spacing w:line="360" w:lineRule="auto"/>
    </w:pPr>
    <w:rPr>
      <w:rFonts w:ascii="Arial" w:hAnsi="Arial" w:cs="宋体"/>
      <w:color w:val="000000"/>
      <w:sz w:val="22"/>
      <w:szCs w:val="21"/>
    </w:rPr>
  </w:style>
  <w:style w:type="paragraph" w:styleId="808" w:customStyle="1">
    <w:name w:val="pa-4"/>
    <w:basedOn w:val="753"/>
    <w:uiPriority w:val="0"/>
    <w:qFormat/>
    <w:pPr>
      <w:jc w:val="left"/>
      <w:spacing w:before="150" w:after="150"/>
      <w:widowControl/>
    </w:pPr>
    <w:rPr>
      <w:rFonts w:ascii="宋体" w:hAnsi="宋体" w:cs="宋体"/>
      <w:color w:val="000000"/>
      <w:sz w:val="24"/>
    </w:rPr>
  </w:style>
  <w:style w:type="table" w:styleId="809"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12">
    <w:name w:val="No Spacing"/>
    <w:uiPriority w:val="1"/>
    <w:qFormat/>
    <w:rPr>
      <w:rFonts w:hint="default" w:ascii="Calibri" w:hAnsi="Calibri" w:eastAsia="宋体" w:cs="Times New Roman"/>
      <w:sz w:val="21"/>
      <w:szCs w:val="22"/>
      <w:lang w:val="en-US" w:eastAsia="zh-CN" w:bidi="ar-SA"/>
    </w:rPr>
  </w:style>
  <w:style w:type="table" w:styleId="81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14" w:customStyle="1">
    <w:name w:val="标题 411"/>
    <w:basedOn w:val="753"/>
    <w:next w:val="815"/>
    <w:uiPriority w:val="0"/>
    <w:qFormat/>
    <w:pPr>
      <w:keepLines/>
      <w:keepNext/>
      <w:spacing w:before="280" w:after="290" w:line="376" w:lineRule="auto"/>
      <w:outlineLvl w:val="3"/>
    </w:pPr>
    <w:rPr>
      <w:rFonts w:ascii="Arial" w:hAnsi="Arial" w:eastAsia="黑体"/>
      <w:b/>
      <w:bCs/>
      <w:sz w:val="28"/>
      <w:szCs w:val="28"/>
    </w:rPr>
  </w:style>
  <w:style w:type="paragraph" w:styleId="815" w:customStyle="1">
    <w:name w:val="正文缩进11"/>
    <w:basedOn w:val="753"/>
    <w:uiPriority w:val="0"/>
    <w:qFormat/>
    <w:pPr>
      <w:ind w:firstLine="420"/>
    </w:pPr>
    <w:rPr>
      <w:szCs w:val="20"/>
    </w:rPr>
  </w:style>
  <w:style w:type="table" w:styleId="81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17" w:customStyle="1">
    <w:name w:val="脚注文本 Char"/>
    <w:link w:val="773"/>
    <w:uiPriority w:val="99"/>
    <w:qFormat/>
    <w:rPr>
      <w:sz w:val="18"/>
    </w:rPr>
  </w:style>
  <w:style w:type="character" w:styleId="818" w:customStyle="1">
    <w:name w:val="标题 Char"/>
    <w:link w:val="780"/>
    <w:uiPriority w:val="10"/>
    <w:qFormat/>
    <w:rPr>
      <w:sz w:val="48"/>
      <w:szCs w:val="48"/>
    </w:rPr>
  </w:style>
  <w:style w:type="character" w:styleId="819" w:customStyle="1">
    <w:name w:val="副标题 Char"/>
    <w:link w:val="772"/>
    <w:uiPriority w:val="11"/>
    <w:qFormat/>
    <w:rPr>
      <w:sz w:val="24"/>
      <w:szCs w:val="24"/>
    </w:rPr>
  </w:style>
  <w:style w:type="table" w:styleId="82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22" w:customStyle="1">
    <w:name w:val="Heading 7 Char_243c9c46-6bad-48b0-9f85-4983fd8b207a"/>
    <w:link w:val="805"/>
    <w:uiPriority w:val="9"/>
    <w:qFormat/>
    <w:rPr>
      <w:rFonts w:ascii="Arial" w:hAnsi="Arial" w:eastAsia="Arial" w:cs="Arial"/>
      <w:b/>
      <w:bCs/>
      <w:i/>
      <w:iCs/>
      <w:sz w:val="22"/>
      <w:szCs w:val="22"/>
    </w:rPr>
  </w:style>
  <w:style w:type="character" w:styleId="823" w:customStyle="1">
    <w:name w:val="Subtitle Char"/>
    <w:basedOn w:val="757"/>
    <w:uiPriority w:val="11"/>
    <w:qFormat/>
    <w:rPr>
      <w:sz w:val="24"/>
      <w:szCs w:val="24"/>
    </w:rPr>
  </w:style>
  <w:style w:type="paragraph" w:styleId="824" w:customStyle="1">
    <w:name w:val="页脚11"/>
    <w:basedOn w:val="753"/>
    <w:uiPriority w:val="0"/>
    <w:qFormat/>
    <w:pPr>
      <w:jc w:val="left"/>
      <w:tabs>
        <w:tab w:val="center" w:pos="4153" w:leader="none"/>
        <w:tab w:val="right" w:pos="8306" w:leader="none"/>
      </w:tabs>
    </w:pPr>
    <w:rPr>
      <w:sz w:val="18"/>
      <w:szCs w:val="20"/>
    </w:rPr>
  </w:style>
  <w:style w:type="table" w:styleId="82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2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28" w:customStyle="1">
    <w:name w:val="4"/>
    <w:basedOn w:val="753"/>
    <w:next w:val="775"/>
    <w:uiPriority w:val="0"/>
    <w:qFormat/>
    <w:pPr>
      <w:ind w:firstLine="480"/>
      <w:spacing w:line="360" w:lineRule="auto"/>
    </w:pPr>
    <w:rPr>
      <w:rFonts w:eastAsia="微软雅黑"/>
      <w:b/>
      <w:color w:val="ff0000"/>
      <w:sz w:val="24"/>
    </w:rPr>
  </w:style>
  <w:style w:type="table" w:styleId="82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30" w:customStyle="1">
    <w:name w:val="标题 111"/>
    <w:basedOn w:val="753"/>
    <w:next w:val="753"/>
    <w:uiPriority w:val="0"/>
    <w:qFormat/>
    <w:pPr>
      <w:keepNext/>
      <w:outlineLvl w:val="0"/>
    </w:pPr>
    <w:rPr>
      <w:rFonts w:ascii="楷体" w:eastAsia="楷体"/>
      <w:sz w:val="28"/>
      <w:szCs w:val="20"/>
    </w:rPr>
  </w:style>
  <w:style w:type="table" w:styleId="8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33" w:customStyle="1">
    <w:name w:val="标题 11"/>
    <w:basedOn w:val="753"/>
    <w:next w:val="753"/>
    <w:uiPriority w:val="0"/>
    <w:qFormat/>
    <w:pPr>
      <w:jc w:val="center"/>
      <w:keepNext/>
      <w:outlineLvl w:val="0"/>
    </w:pPr>
    <w:rPr>
      <w:rFonts w:ascii="楷体" w:eastAsia="楷体"/>
      <w:sz w:val="28"/>
      <w:szCs w:val="28"/>
    </w:rPr>
  </w:style>
  <w:style w:type="table" w:styleId="83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5"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36" w:customStyle="1">
    <w:name w:val="Heading 8 Char_bb4c8d23-d699-441a-bd29-a0db28661282"/>
    <w:link w:val="837"/>
    <w:uiPriority w:val="9"/>
    <w:qFormat/>
    <w:rPr>
      <w:rFonts w:ascii="Arial" w:hAnsi="Arial" w:eastAsia="Arial" w:cs="Arial"/>
      <w:i/>
      <w:iCs/>
      <w:sz w:val="22"/>
      <w:szCs w:val="22"/>
    </w:rPr>
  </w:style>
  <w:style w:type="paragraph" w:styleId="837" w:customStyle="1">
    <w:name w:val="Heading 8"/>
    <w:basedOn w:val="753"/>
    <w:next w:val="753"/>
    <w:link w:val="836"/>
    <w:uiPriority w:val="9"/>
    <w:qFormat/>
    <w:pPr>
      <w:keepLines/>
      <w:keepNext/>
      <w:spacing w:before="320" w:after="200"/>
      <w:outlineLvl w:val="7"/>
    </w:pPr>
    <w:rPr>
      <w:rFonts w:ascii="Arial" w:hAnsi="Arial" w:eastAsia="Arial" w:cs="Arial"/>
      <w:i/>
      <w:iCs/>
      <w:sz w:val="22"/>
      <w:szCs w:val="22"/>
    </w:rPr>
  </w:style>
  <w:style w:type="table" w:styleId="8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39" w:customStyle="1">
    <w:name w:val="页脚 Char"/>
    <w:basedOn w:val="757"/>
    <w:link w:val="768"/>
    <w:uiPriority w:val="99"/>
    <w:qFormat/>
    <w:rPr>
      <w:rFonts w:ascii="Times New Roman" w:hAnsi="Times New Roman"/>
      <w:sz w:val="18"/>
      <w:szCs w:val="18"/>
    </w:rPr>
  </w:style>
  <w:style w:type="table" w:styleId="8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43" w:customStyle="1">
    <w:name w:val="Body text|2"/>
    <w:basedOn w:val="753"/>
    <w:uiPriority w:val="0"/>
    <w:qFormat/>
    <w:pPr>
      <w:spacing w:after="580"/>
    </w:pPr>
    <w:rPr>
      <w:rFonts w:ascii="宋体" w:hAnsi="宋体" w:cs="宋体"/>
      <w:sz w:val="28"/>
      <w:szCs w:val="28"/>
      <w:lang w:val="zh-TW" w:eastAsia="zh-TW" w:bidi="zh-TW"/>
    </w:rPr>
  </w:style>
  <w:style w:type="table" w:styleId="84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845" w:customStyle="1">
    <w:name w:val="正文首行缩进 211"/>
    <w:basedOn w:val="846"/>
    <w:uiPriority w:val="0"/>
    <w:qFormat/>
    <w:pPr>
      <w:ind w:firstLine="420"/>
    </w:pPr>
  </w:style>
  <w:style w:type="paragraph" w:styleId="846" w:customStyle="1">
    <w:name w:val="正文文本缩进11"/>
    <w:basedOn w:val="753"/>
    <w:next w:val="847"/>
    <w:uiPriority w:val="0"/>
    <w:qFormat/>
    <w:pPr>
      <w:ind w:left="420"/>
      <w:spacing w:after="120"/>
    </w:pPr>
  </w:style>
  <w:style w:type="paragraph" w:styleId="847" w:customStyle="1">
    <w:name w:val="寄信人地址1"/>
    <w:basedOn w:val="753"/>
    <w:uiPriority w:val="0"/>
    <w:qFormat/>
    <w:rPr>
      <w:rFonts w:ascii="Arial" w:hAnsi="Arial"/>
    </w:rPr>
  </w:style>
  <w:style w:type="character" w:styleId="848" w:customStyle="1">
    <w:name w:val="页码11"/>
    <w:uiPriority w:val="0"/>
    <w:qFormat/>
  </w:style>
  <w:style w:type="table" w:styleId="8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51" w:customStyle="1">
    <w:name w:val="NormalCharacter"/>
    <w:uiPriority w:val="99"/>
    <w:qFormat/>
    <w:rPr>
      <w:rFonts w:ascii="Calibri" w:hAnsi="Calibri" w:eastAsia="宋体"/>
    </w:rPr>
  </w:style>
  <w:style w:type="character" w:styleId="852" w:customStyle="1">
    <w:name w:val="标题 2 Char"/>
    <w:link w:val="853"/>
    <w:uiPriority w:val="0"/>
    <w:qFormat/>
    <w:rPr>
      <w:rFonts w:ascii="Arial" w:hAnsi="Arial" w:eastAsia="宋体"/>
      <w:b/>
      <w:sz w:val="44"/>
      <w:szCs w:val="20"/>
    </w:rPr>
  </w:style>
  <w:style w:type="paragraph" w:styleId="853" w:customStyle="1">
    <w:name w:val="标题 211"/>
    <w:basedOn w:val="753"/>
    <w:next w:val="753"/>
    <w:link w:val="852"/>
    <w:uiPriority w:val="0"/>
    <w:qFormat/>
    <w:pPr>
      <w:jc w:val="center"/>
      <w:keepLines/>
      <w:keepNext/>
      <w:spacing w:before="260" w:after="260" w:line="416" w:lineRule="auto"/>
      <w:outlineLvl w:val="1"/>
    </w:pPr>
    <w:rPr>
      <w:rFonts w:ascii="Arial" w:hAnsi="Arial" w:eastAsia="宋体"/>
      <w:b/>
      <w:sz w:val="44"/>
      <w:szCs w:val="20"/>
    </w:rPr>
  </w:style>
  <w:style w:type="paragraph" w:styleId="854" w:customStyle="1">
    <w:name w:val="正文缩进1"/>
    <w:basedOn w:val="753"/>
    <w:uiPriority w:val="0"/>
    <w:qFormat/>
    <w:pPr>
      <w:ind w:firstLine="420"/>
    </w:pPr>
  </w:style>
  <w:style w:type="paragraph" w:styleId="855" w:customStyle="1">
    <w:name w:val="WPSOffice手动目录 1"/>
    <w:uiPriority w:val="0"/>
    <w:qFormat/>
    <w:rPr>
      <w:rFonts w:hint="default" w:ascii="Times New Roman" w:hAnsi="Times New Roman" w:eastAsia="宋体" w:cs="Times New Roman"/>
      <w:sz w:val="20"/>
      <w:szCs w:val="20"/>
    </w:rPr>
  </w:style>
  <w:style w:type="table" w:styleId="85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57" w:customStyle="1">
    <w:name w:val="Heading 4"/>
    <w:basedOn w:val="753"/>
    <w:next w:val="753"/>
    <w:link w:val="991"/>
    <w:uiPriority w:val="9"/>
    <w:qFormat/>
    <w:pPr>
      <w:keepLines/>
      <w:keepNext/>
      <w:spacing w:before="320" w:after="200"/>
      <w:outlineLvl w:val="3"/>
    </w:pPr>
    <w:rPr>
      <w:rFonts w:ascii="Arial" w:hAnsi="Arial" w:eastAsia="Arial" w:cs="Arial"/>
      <w:b/>
      <w:bCs/>
      <w:sz w:val="26"/>
      <w:szCs w:val="26"/>
    </w:rPr>
  </w:style>
  <w:style w:type="table" w:styleId="8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59" w:customStyle="1">
    <w:name w:val="Heading 1"/>
    <w:basedOn w:val="753"/>
    <w:next w:val="753"/>
    <w:link w:val="969"/>
    <w:uiPriority w:val="9"/>
    <w:qFormat/>
    <w:pPr>
      <w:keepLines/>
      <w:keepNext/>
      <w:spacing w:before="480" w:after="200"/>
      <w:outlineLvl w:val="0"/>
    </w:pPr>
    <w:rPr>
      <w:rFonts w:ascii="Arial" w:hAnsi="Arial" w:eastAsia="Arial" w:cs="Arial"/>
      <w:sz w:val="40"/>
      <w:szCs w:val="40"/>
    </w:rPr>
  </w:style>
  <w:style w:type="table" w:styleId="86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61" w:customStyle="1">
    <w:name w:val="纯文本11"/>
    <w:basedOn w:val="753"/>
    <w:uiPriority w:val="99"/>
    <w:qFormat/>
    <w:rPr>
      <w:rFonts w:ascii="宋体" w:hAnsi="Courier New"/>
      <w:szCs w:val="20"/>
    </w:rPr>
  </w:style>
  <w:style w:type="table" w:styleId="8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863" w:customStyle="1">
    <w:name w:val="普通正文"/>
    <w:basedOn w:val="753"/>
    <w:uiPriority w:val="0"/>
    <w:qFormat/>
    <w:pPr>
      <w:ind w:firstLine="480"/>
      <w:jc w:val="left"/>
      <w:spacing w:before="120" w:after="120" w:line="360" w:lineRule="auto"/>
    </w:pPr>
    <w:rPr>
      <w:rFonts w:ascii="Arial" w:hAnsi="Arial"/>
      <w:sz w:val="24"/>
    </w:rPr>
  </w:style>
  <w:style w:type="character" w:styleId="864" w:customStyle="1">
    <w:name w:val="Heading 3 Char_b44b1981-d08e-43d8-9445-f3a845f9238f"/>
    <w:link w:val="865"/>
    <w:uiPriority w:val="9"/>
    <w:qFormat/>
    <w:rPr>
      <w:rFonts w:ascii="Arial" w:hAnsi="Arial" w:eastAsia="Arial" w:cs="Arial"/>
      <w:sz w:val="30"/>
      <w:szCs w:val="30"/>
    </w:rPr>
  </w:style>
  <w:style w:type="paragraph" w:styleId="865" w:customStyle="1">
    <w:name w:val="Heading 3"/>
    <w:basedOn w:val="753"/>
    <w:next w:val="753"/>
    <w:link w:val="864"/>
    <w:uiPriority w:val="9"/>
    <w:qFormat/>
    <w:pPr>
      <w:keepLines/>
      <w:keepNext/>
      <w:spacing w:before="320" w:after="200"/>
      <w:outlineLvl w:val="2"/>
    </w:pPr>
    <w:rPr>
      <w:rFonts w:ascii="Arial" w:hAnsi="Arial" w:eastAsia="Arial" w:cs="Arial"/>
      <w:sz w:val="30"/>
      <w:szCs w:val="30"/>
    </w:rPr>
  </w:style>
  <w:style w:type="table" w:styleId="86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867" w:customStyle="1">
    <w:name w:val="font21"/>
    <w:basedOn w:val="757"/>
    <w:uiPriority w:val="0"/>
    <w:qFormat/>
    <w:rPr>
      <w:rFonts w:hint="default" w:ascii="Times New Roman" w:hAnsi="Times New Roman" w:cs="Times New Roman"/>
      <w:color w:val="000000"/>
      <w:sz w:val="24"/>
      <w:szCs w:val="24"/>
      <w:u w:val="none"/>
    </w:rPr>
  </w:style>
  <w:style w:type="table" w:styleId="8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869" w:customStyle="1">
    <w:name w:val="TOC 标题1"/>
    <w:uiPriority w:val="39"/>
    <w:qFormat/>
    <w:rPr>
      <w:rFonts w:hint="default" w:ascii="Times New Roman" w:hAnsi="Times New Roman" w:eastAsia="宋体" w:cs="Times New Roman"/>
      <w:sz w:val="21"/>
      <w:szCs w:val="22"/>
      <w:lang w:val="en-US" w:eastAsia="zh-CN" w:bidi="ar-SA"/>
    </w:rPr>
  </w:style>
  <w:style w:type="table" w:styleId="87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873" w:customStyle="1">
    <w:name w:val="Header"/>
    <w:basedOn w:val="753"/>
    <w:link w:val="1038"/>
    <w:uiPriority w:val="99"/>
    <w:qFormat/>
    <w:pPr>
      <w:tabs>
        <w:tab w:val="center" w:pos="7143" w:leader="none"/>
        <w:tab w:val="right" w:pos="14287" w:leader="none"/>
      </w:tabs>
    </w:pPr>
  </w:style>
  <w:style w:type="table" w:styleId="87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875" w:customStyle="1">
    <w:name w:val="批注框文本 Char"/>
    <w:basedOn w:val="757"/>
    <w:link w:val="767"/>
    <w:uiPriority w:val="99"/>
    <w:qFormat/>
    <w:rPr>
      <w:rFonts w:ascii="Times New Roman" w:hAnsi="Times New Roman"/>
      <w:sz w:val="18"/>
      <w:szCs w:val="18"/>
    </w:r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879" w:customStyle="1">
    <w:name w:val="Title Char_b4b369a3-c0dc-4a1c-864f-542fcbabd844"/>
    <w:basedOn w:val="757"/>
    <w:uiPriority w:val="10"/>
    <w:qFormat/>
    <w:rPr>
      <w:sz w:val="48"/>
      <w:szCs w:val="48"/>
    </w:rPr>
  </w:style>
  <w:style w:type="table" w:styleId="88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8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884" w:customStyle="1">
    <w:name w:val="Footer Char_9810c813-560c-4d63-9ee2-25cd38a8754c"/>
    <w:uiPriority w:val="99"/>
    <w:qFormat/>
  </w:style>
  <w:style w:type="paragraph" w:styleId="885" w:customStyle="1">
    <w:name w:val="标题 311"/>
    <w:basedOn w:val="753"/>
    <w:next w:val="753"/>
    <w:uiPriority w:val="0"/>
    <w:qFormat/>
    <w:pPr>
      <w:keepLines/>
      <w:keepNext/>
      <w:spacing w:before="260" w:after="260" w:line="416" w:lineRule="auto"/>
      <w:outlineLvl w:val="2"/>
    </w:pPr>
    <w:rPr>
      <w:b/>
      <w:sz w:val="32"/>
      <w:szCs w:val="20"/>
    </w:r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888" w:customStyle="1">
    <w:name w:val="正文文本缩进1"/>
    <w:basedOn w:val="753"/>
    <w:uiPriority w:val="0"/>
    <w:qFormat/>
    <w:pPr>
      <w:ind w:firstLine="645"/>
    </w:pPr>
    <w:rPr>
      <w:rFonts w:ascii="楷体" w:eastAsia="楷体"/>
      <w:sz w:val="32"/>
      <w:szCs w:val="32"/>
    </w:rPr>
  </w:style>
  <w:style w:type="paragraph" w:styleId="889" w:customStyle="1">
    <w:name w:val="样式 小四 段前: 5 磅 段后: 5 磅 首行缩进:  2 字符"/>
    <w:basedOn w:val="753"/>
    <w:uiPriority w:val="0"/>
    <w:qFormat/>
    <w:pPr>
      <w:spacing w:line="360" w:lineRule="auto"/>
    </w:pPr>
    <w:rPr>
      <w:rFonts w:ascii="宋体" w:hAnsi="宋体"/>
    </w:rPr>
  </w:style>
  <w:style w:type="paragraph" w:styleId="890" w:customStyle="1">
    <w:name w:val="文本块1"/>
    <w:basedOn w:val="753"/>
    <w:uiPriority w:val="99"/>
    <w:qFormat/>
    <w:pPr>
      <w:ind w:left="1440" w:right="1440"/>
      <w:spacing w:after="120"/>
      <w:tabs>
        <w:tab w:val="left" w:pos="9000" w:leader="none"/>
      </w:tabs>
    </w:pPr>
  </w:style>
  <w:style w:type="table" w:styleId="891"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9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95"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96" w:customStyle="1">
    <w:name w:val="Table Normal"/>
    <w:uiPriority w:val="0"/>
    <w:qFormat/>
    <w:tblPr>
      <w:tblCellMar>
        <w:left w:w="0" w:type="dxa"/>
        <w:top w:w="0" w:type="dxa"/>
        <w:right w:w="0" w:type="dxa"/>
        <w:bottom w:w="0" w:type="dxa"/>
      </w:tblCellMar>
    </w:tblPr>
  </w:style>
  <w:style w:type="table" w:styleId="8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899">
    <w:name w:val="Intense Quote"/>
    <w:basedOn w:val="753"/>
    <w:next w:val="753"/>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902" w:customStyle="1">
    <w:name w:val="标题 21"/>
    <w:basedOn w:val="753"/>
    <w:next w:val="854"/>
    <w:uiPriority w:val="0"/>
    <w:qFormat/>
    <w:pPr>
      <w:jc w:val="center"/>
      <w:keepLines/>
      <w:keepNext/>
      <w:spacing w:before="260" w:after="260" w:line="416" w:lineRule="auto"/>
      <w:outlineLvl w:val="1"/>
    </w:pPr>
    <w:rPr>
      <w:rFonts w:ascii="Arial" w:hAnsi="Arial" w:eastAsia="宋体" w:cs="Arial"/>
      <w:b/>
      <w:bCs/>
      <w:sz w:val="44"/>
      <w:szCs w:val="44"/>
    </w:r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04" w:customStyle="1">
    <w:name w:val="Heading 6 Char_2290764d-6979-4590-8bd3-c121b1f1845e"/>
    <w:link w:val="905"/>
    <w:uiPriority w:val="9"/>
    <w:qFormat/>
    <w:rPr>
      <w:rFonts w:ascii="Arial" w:hAnsi="Arial" w:eastAsia="Arial" w:cs="Arial"/>
      <w:b/>
      <w:bCs/>
      <w:sz w:val="22"/>
      <w:szCs w:val="22"/>
    </w:rPr>
  </w:style>
  <w:style w:type="paragraph" w:styleId="905" w:customStyle="1">
    <w:name w:val="Heading 6"/>
    <w:basedOn w:val="753"/>
    <w:next w:val="753"/>
    <w:link w:val="904"/>
    <w:uiPriority w:val="9"/>
    <w:qFormat/>
    <w:pPr>
      <w:keepLines/>
      <w:keepNext/>
      <w:spacing w:before="320" w:after="200"/>
      <w:outlineLvl w:val="5"/>
    </w:pPr>
    <w:rPr>
      <w:rFonts w:ascii="Arial" w:hAnsi="Arial" w:eastAsia="Arial" w:cs="Arial"/>
      <w:b/>
      <w:bCs/>
      <w:sz w:val="22"/>
      <w:szCs w:val="22"/>
    </w:rPr>
  </w:style>
  <w:style w:type="paragraph" w:styleId="906" w:customStyle="1">
    <w:name w:val="flName"/>
    <w:basedOn w:val="753"/>
    <w:uiPriority w:val="0"/>
    <w:qFormat/>
    <w:pPr>
      <w:jc w:val="center"/>
      <w:spacing w:before="320" w:after="160" w:line="360" w:lineRule="atLeast"/>
    </w:pPr>
    <w:rPr>
      <w:rFonts w:ascii="Arial" w:eastAsia="黑体"/>
      <w:sz w:val="32"/>
      <w:szCs w:val="20"/>
    </w:rPr>
  </w:style>
  <w:style w:type="table" w:styleId="90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0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0"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11" w:customStyle="1">
    <w:name w:val="NormalCharacter1"/>
    <w:uiPriority w:val="99"/>
    <w:qFormat/>
    <w:rPr>
      <w:rFonts w:ascii="Calibri" w:hAnsi="Calibri" w:eastAsia="宋体"/>
    </w:rPr>
  </w:style>
  <w:style w:type="paragraph" w:styleId="912" w:customStyle="1">
    <w:name w:val="pa-5"/>
    <w:basedOn w:val="753"/>
    <w:uiPriority w:val="0"/>
    <w:qFormat/>
    <w:pPr>
      <w:jc w:val="left"/>
      <w:spacing w:before="150" w:after="150"/>
      <w:widowControl/>
    </w:pPr>
    <w:rPr>
      <w:rFonts w:ascii="宋体" w:hAnsi="宋体" w:cs="宋体"/>
      <w:color w:val="000000"/>
      <w:sz w:val="24"/>
    </w:rPr>
  </w:style>
  <w:style w:type="character" w:styleId="913" w:customStyle="1">
    <w:name w:val="Heading 2 Char_5c8af6f5-e48a-4634-bbf8-b2e5c568ca8f"/>
    <w:link w:val="914"/>
    <w:uiPriority w:val="9"/>
    <w:qFormat/>
    <w:rPr>
      <w:rFonts w:ascii="Arial" w:hAnsi="Arial" w:eastAsia="Arial" w:cs="Arial"/>
      <w:sz w:val="34"/>
    </w:rPr>
  </w:style>
  <w:style w:type="paragraph" w:styleId="914" w:customStyle="1">
    <w:name w:val="Heading 2"/>
    <w:basedOn w:val="753"/>
    <w:next w:val="753"/>
    <w:link w:val="913"/>
    <w:uiPriority w:val="9"/>
    <w:qFormat/>
    <w:pPr>
      <w:keepLines/>
      <w:keepNext/>
      <w:spacing w:before="360" w:after="200"/>
      <w:outlineLvl w:val="1"/>
    </w:pPr>
    <w:rPr>
      <w:rFonts w:ascii="Arial" w:hAnsi="Arial" w:eastAsia="Arial" w:cs="Arial"/>
      <w:sz w:val="34"/>
    </w:r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16" w:customStyle="1">
    <w:name w:val="尾注文本 Char"/>
    <w:link w:val="766"/>
    <w:uiPriority w:val="99"/>
    <w:qFormat/>
    <w:rPr>
      <w:sz w:val="20"/>
    </w:rPr>
  </w:style>
  <w:style w:type="character" w:styleId="917" w:customStyle="1">
    <w:name w:val="Footnote Text Char"/>
    <w:uiPriority w:val="99"/>
    <w:qFormat/>
    <w:rPr>
      <w:sz w:val="18"/>
    </w:rPr>
  </w:style>
  <w:style w:type="paragraph" w:styleId="918" w:customStyle="1">
    <w:name w:val="批注文字1"/>
    <w:basedOn w:val="753"/>
    <w:uiPriority w:val="0"/>
    <w:qFormat/>
    <w:pPr>
      <w:jc w:val="left"/>
    </w:pPr>
    <w:rPr>
      <w:rFonts w:ascii="Calibri" w:hAnsi="Calibri"/>
      <w:szCs w:val="22"/>
    </w:rPr>
  </w:style>
  <w:style w:type="table" w:styleId="919"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20" w:customStyle="1">
    <w:name w:val="font31"/>
    <w:basedOn w:val="757"/>
    <w:uiPriority w:val="0"/>
    <w:qFormat/>
    <w:rPr>
      <w:rFonts w:hint="eastAsia" w:ascii="宋体" w:hAnsi="宋体" w:eastAsia="宋体" w:cs="宋体"/>
      <w:color w:val="000000"/>
      <w:sz w:val="19"/>
      <w:szCs w:val="19"/>
      <w:u w:val="none"/>
    </w:rPr>
  </w:style>
  <w:style w:type="table" w:styleId="92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22" w:customStyle="1">
    <w:name w:val="Heading 5"/>
    <w:basedOn w:val="753"/>
    <w:next w:val="753"/>
    <w:link w:val="1022"/>
    <w:uiPriority w:val="9"/>
    <w:qFormat/>
    <w:pPr>
      <w:keepLines/>
      <w:keepNext/>
      <w:spacing w:before="320" w:after="200"/>
      <w:outlineLvl w:val="4"/>
    </w:pPr>
    <w:rPr>
      <w:rFonts w:ascii="Arial" w:hAnsi="Arial" w:eastAsia="Arial" w:cs="Arial"/>
      <w:b/>
      <w:bCs/>
      <w:sz w:val="24"/>
    </w:rPr>
  </w:style>
  <w:style w:type="paragraph" w:styleId="923" w:customStyle="1">
    <w:name w:val="页脚1"/>
    <w:basedOn w:val="753"/>
    <w:uiPriority w:val="0"/>
    <w:qFormat/>
    <w:pPr>
      <w:jc w:val="left"/>
      <w:tabs>
        <w:tab w:val="center" w:pos="4153" w:leader="none"/>
        <w:tab w:val="right" w:pos="8306" w:leader="none"/>
      </w:tabs>
    </w:pPr>
    <w:rPr>
      <w:sz w:val="18"/>
      <w:szCs w:val="18"/>
    </w:rPr>
  </w:style>
  <w:style w:type="table" w:styleId="9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25" w:customStyle="1">
    <w:name w:val="Intense Quote Char_cd88471f-87b8-480c-ab55-e1b012420c09"/>
    <w:uiPriority w:val="30"/>
    <w:qFormat/>
    <w:rPr>
      <w:i/>
    </w:rPr>
  </w:style>
  <w:style w:type="table" w:styleId="926"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7"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2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29" w:customStyle="1">
    <w:name w:val="目录 11"/>
    <w:basedOn w:val="753"/>
    <w:next w:val="753"/>
    <w:uiPriority w:val="0"/>
    <w:qFormat/>
    <w:pPr>
      <w:jc w:val="left"/>
      <w:spacing w:before="120" w:after="120" w:line="300" w:lineRule="exact"/>
      <w:tabs>
        <w:tab w:val="right" w:pos="9440" w:leader="dot"/>
      </w:tabs>
    </w:pPr>
    <w:rPr>
      <w:rFonts w:ascii="黑体" w:eastAsia="黑体"/>
      <w:b/>
      <w:caps/>
      <w:sz w:val="18"/>
      <w:szCs w:val="28"/>
    </w:r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35" w:customStyle="1">
    <w:name w:val="Heading 9"/>
    <w:basedOn w:val="753"/>
    <w:next w:val="753"/>
    <w:link w:val="990"/>
    <w:uiPriority w:val="9"/>
    <w:qFormat/>
    <w:pPr>
      <w:keepLines/>
      <w:keepNext/>
      <w:spacing w:before="320" w:after="200"/>
      <w:outlineLvl w:val="8"/>
    </w:pPr>
    <w:rPr>
      <w:rFonts w:ascii="Arial" w:hAnsi="Arial" w:eastAsia="Arial" w:cs="Arial"/>
      <w:i/>
      <w:iCs/>
      <w:szCs w:val="21"/>
    </w:rPr>
  </w:style>
  <w:style w:type="table" w:styleId="93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8"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39" w:customStyle="1">
    <w:name w:val="Body text|1"/>
    <w:basedOn w:val="753"/>
    <w:uiPriority w:val="0"/>
    <w:qFormat/>
    <w:pPr>
      <w:ind w:firstLine="320"/>
      <w:spacing w:line="466" w:lineRule="auto"/>
    </w:pPr>
    <w:rPr>
      <w:rFonts w:ascii="宋体" w:hAnsi="宋体" w:cs="宋体"/>
      <w:sz w:val="20"/>
      <w:szCs w:val="20"/>
      <w:lang w:val="zh-TW" w:eastAsia="zh-TW" w:bidi="zh-TW"/>
    </w:rPr>
  </w:style>
  <w:style w:type="table" w:styleId="94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4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42" w:customStyle="1">
    <w:name w:val="列出段落1"/>
    <w:basedOn w:val="753"/>
    <w:uiPriority w:val="0"/>
    <w:qFormat/>
    <w:pPr>
      <w:contextualSpacing/>
      <w:ind w:left="720"/>
      <w:jc w:val="left"/>
      <w:widowControl/>
    </w:pPr>
    <w:rPr>
      <w:rFonts w:ascii="Calibri" w:hAnsi="Calibri"/>
      <w:sz w:val="24"/>
      <w:lang w:eastAsia="en-US" w:bidi="en-US"/>
    </w:rPr>
  </w:style>
  <w:style w:type="paragraph" w:styleId="943" w:customStyle="1">
    <w:name w:val="正文缩进12"/>
    <w:basedOn w:val="753"/>
    <w:uiPriority w:val="0"/>
    <w:qFormat/>
    <w:pPr>
      <w:ind w:firstLine="420"/>
      <w:jc w:val="left"/>
      <w:spacing w:line="360" w:lineRule="auto"/>
    </w:pPr>
    <w:rPr>
      <w:rFonts w:ascii="宋体" w:hAnsi="宋体" w:cs="宋体"/>
      <w:color w:val="000000"/>
      <w:sz w:val="24"/>
      <w:szCs w:val="21"/>
    </w:rPr>
  </w:style>
  <w:style w:type="table" w:styleId="9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45"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46" w:customStyle="1">
    <w:name w:val="默认段落字体1"/>
    <w:uiPriority w:val="0"/>
    <w:qFormat/>
  </w:style>
  <w:style w:type="table" w:styleId="9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49" w:customStyle="1">
    <w:name w:val="font11"/>
    <w:basedOn w:val="757"/>
    <w:uiPriority w:val="0"/>
    <w:qFormat/>
    <w:rPr>
      <w:rFonts w:hint="eastAsia" w:ascii="宋体" w:hAnsi="宋体" w:eastAsia="宋体" w:cs="宋体"/>
      <w:b/>
      <w:bCs/>
      <w:color w:val="000000"/>
      <w:sz w:val="21"/>
      <w:szCs w:val="21"/>
      <w:u w:val="none"/>
    </w:rPr>
  </w:style>
  <w:style w:type="table" w:styleId="950"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5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5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54" w:customStyle="1">
    <w:name w:val="日期1"/>
    <w:basedOn w:val="753"/>
    <w:next w:val="753"/>
    <w:uiPriority w:val="0"/>
    <w:qFormat/>
    <w:rPr>
      <w:sz w:val="24"/>
      <w:szCs w:val="20"/>
    </w:rPr>
  </w:style>
  <w:style w:type="paragraph" w:styleId="955" w:customStyle="1">
    <w:name w:val="pa-6"/>
    <w:basedOn w:val="753"/>
    <w:uiPriority w:val="0"/>
    <w:qFormat/>
    <w:pPr>
      <w:jc w:val="left"/>
      <w:spacing w:before="150" w:after="150"/>
      <w:widowControl/>
    </w:pPr>
    <w:rPr>
      <w:rFonts w:ascii="宋体" w:hAnsi="宋体" w:cs="宋体"/>
      <w:color w:val="000000"/>
      <w:sz w:val="24"/>
    </w:rPr>
  </w:style>
  <w:style w:type="table" w:styleId="95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57">
    <w:name w:val="List Paragraph"/>
    <w:basedOn w:val="753"/>
    <w:uiPriority w:val="34"/>
    <w:qFormat/>
    <w:pPr>
      <w:contextualSpacing/>
      <w:ind w:left="720"/>
    </w:pPr>
  </w:style>
  <w:style w:type="table" w:styleId="9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62" w:customStyle="1">
    <w:name w:val="纯文本1"/>
    <w:basedOn w:val="753"/>
    <w:uiPriority w:val="0"/>
    <w:qFormat/>
    <w:rPr>
      <w:rFonts w:ascii="宋体" w:hAnsi="Courier New" w:eastAsia="楷体"/>
      <w:sz w:val="26"/>
    </w:rPr>
  </w:style>
  <w:style w:type="paragraph" w:styleId="963" w:customStyle="1">
    <w:name w:val="Table Paragraph"/>
    <w:basedOn w:val="753"/>
    <w:uiPriority w:val="1"/>
    <w:qFormat/>
    <w:pPr>
      <w:ind w:left="348"/>
    </w:pPr>
    <w:rPr>
      <w:rFonts w:ascii="宋体" w:hAnsi="宋体" w:eastAsia="宋体" w:cs="宋体"/>
      <w:lang w:val="zh-CN" w:bidi="zh-CN"/>
    </w:rPr>
  </w:style>
  <w:style w:type="paragraph" w:styleId="964" w:customStyle="1">
    <w:name w:val="普通(网站)1"/>
    <w:basedOn w:val="753"/>
    <w:uiPriority w:val="99"/>
    <w:qFormat/>
    <w:pPr>
      <w:jc w:val="left"/>
      <w:spacing w:before="100" w:beforeAutospacing="1" w:after="100" w:afterAutospacing="1"/>
      <w:widowControl/>
    </w:pPr>
    <w:rPr>
      <w:rFonts w:ascii="宋体" w:hAnsi="宋体" w:cs="宋体"/>
      <w:sz w:val="24"/>
    </w:rPr>
  </w:style>
  <w:style w:type="paragraph" w:styleId="965" w:customStyle="1">
    <w:name w:val="页眉1"/>
    <w:basedOn w:val="753"/>
    <w:uiPriority w:val="0"/>
    <w:qFormat/>
    <w:pPr>
      <w:jc w:val="center"/>
      <w:tabs>
        <w:tab w:val="center" w:pos="4153" w:leader="none"/>
        <w:tab w:val="right" w:pos="8306" w:leader="none"/>
      </w:tabs>
      <w:pBdr>
        <w:bottom w:val="single" w:color="000000" w:sz="6" w:space="1"/>
      </w:pBdr>
    </w:pPr>
    <w:rPr>
      <w:sz w:val="18"/>
      <w:szCs w:val="18"/>
    </w:rPr>
  </w:style>
  <w:style w:type="table" w:styleId="96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969" w:customStyle="1">
    <w:name w:val="Heading 1 Char_d4af410d-dfd8-408c-bcbd-0b5a38582c10"/>
    <w:link w:val="859"/>
    <w:uiPriority w:val="9"/>
    <w:qFormat/>
    <w:rPr>
      <w:rFonts w:ascii="Arial" w:hAnsi="Arial" w:eastAsia="Arial" w:cs="Arial"/>
      <w:sz w:val="40"/>
      <w:szCs w:val="40"/>
    </w:rPr>
  </w:style>
  <w:style w:type="table" w:styleId="97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971" w:customStyle="1">
    <w:name w:val="普通(网站)11"/>
    <w:basedOn w:val="753"/>
    <w:uiPriority w:val="0"/>
    <w:qFormat/>
    <w:pPr>
      <w:jc w:val="left"/>
      <w:spacing w:before="100" w:beforeAutospacing="1" w:after="100" w:afterAutospacing="1"/>
      <w:widowControl/>
    </w:pPr>
    <w:rPr>
      <w:rFonts w:ascii="宋体" w:hAnsi="宋体" w:cs="宋体"/>
      <w:sz w:val="24"/>
    </w:rPr>
  </w:style>
  <w:style w:type="paragraph" w:styleId="972" w:customStyle="1">
    <w:name w:val="pa-3"/>
    <w:basedOn w:val="753"/>
    <w:uiPriority w:val="0"/>
    <w:qFormat/>
    <w:pPr>
      <w:jc w:val="left"/>
      <w:spacing w:before="150" w:after="150"/>
      <w:widowControl/>
    </w:pPr>
    <w:rPr>
      <w:rFonts w:ascii="宋体" w:hAnsi="宋体" w:cs="宋体"/>
      <w:color w:val="000000"/>
      <w:sz w:val="24"/>
    </w:rPr>
  </w:style>
  <w:style w:type="table" w:styleId="973"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975" w:customStyle="1">
    <w:name w:val="TOC 标题111"/>
    <w:uiPriority w:val="39"/>
    <w:qFormat/>
    <w:rPr>
      <w:rFonts w:hint="default" w:ascii="Times New Roman" w:hAnsi="Times New Roman" w:eastAsia="宋体" w:cs="Times New Roman"/>
      <w:sz w:val="21"/>
      <w:szCs w:val="22"/>
      <w:lang w:val="en-US" w:eastAsia="zh-CN" w:bidi="ar-SA"/>
    </w:rPr>
  </w:style>
  <w:style w:type="table" w:styleId="9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978" w:customStyle="1">
    <w:name w:val="正文文本1"/>
    <w:basedOn w:val="753"/>
    <w:next w:val="979"/>
    <w:uiPriority w:val="0"/>
    <w:qFormat/>
    <w:rPr>
      <w:rFonts w:ascii="楷体" w:hAnsi="Arial" w:eastAsia="楷体"/>
      <w:sz w:val="28"/>
      <w:szCs w:val="20"/>
    </w:rPr>
  </w:style>
  <w:style w:type="paragraph" w:styleId="979" w:customStyle="1">
    <w:name w:val="正文文本 21"/>
    <w:basedOn w:val="753"/>
    <w:uiPriority w:val="0"/>
    <w:qFormat/>
    <w:pPr>
      <w:jc w:val="center"/>
    </w:pPr>
    <w:rPr>
      <w:rFonts w:ascii="仿宋" w:eastAsia="仿宋"/>
      <w:sz w:val="44"/>
    </w:rPr>
  </w:style>
  <w:style w:type="table" w:styleId="98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81" w:customStyle="1">
    <w:name w:val="段"/>
    <w:next w:val="753"/>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982" w:customStyle="1">
    <w:name w:val="引用 Char"/>
    <w:link w:val="983"/>
    <w:uiPriority w:val="29"/>
    <w:qFormat/>
    <w:rPr>
      <w:i/>
    </w:rPr>
  </w:style>
  <w:style w:type="paragraph" w:styleId="983">
    <w:name w:val="Quote"/>
    <w:basedOn w:val="753"/>
    <w:next w:val="753"/>
    <w:link w:val="982"/>
    <w:uiPriority w:val="29"/>
    <w:qFormat/>
    <w:pPr>
      <w:ind w:left="720" w:right="720"/>
    </w:pPr>
    <w:rPr>
      <w:i/>
    </w:rPr>
  </w:style>
  <w:style w:type="table" w:styleId="984"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986" w:customStyle="1">
    <w:name w:val="页眉 Char"/>
    <w:basedOn w:val="757"/>
    <w:link w:val="769"/>
    <w:uiPriority w:val="99"/>
    <w:qFormat/>
    <w:rPr>
      <w:rFonts w:ascii="Times New Roman" w:hAnsi="Times New Roman"/>
      <w:sz w:val="18"/>
      <w:szCs w:val="18"/>
    </w:rPr>
  </w:style>
  <w:style w:type="paragraph" w:styleId="987" w:customStyle="1">
    <w:name w:val="正文首行缩进 21"/>
    <w:basedOn w:val="888"/>
    <w:uiPriority w:val="0"/>
    <w:qFormat/>
    <w:pPr>
      <w:ind w:firstLine="420"/>
      <w:spacing w:line="360" w:lineRule="auto"/>
    </w:pPr>
    <w:rPr>
      <w:rFonts w:ascii="宋体" w:hAnsi="宋体" w:eastAsia="宋体"/>
      <w:sz w:val="21"/>
      <w:szCs w:val="20"/>
    </w:rPr>
  </w:style>
  <w:style w:type="table" w:styleId="988"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8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990" w:customStyle="1">
    <w:name w:val="Heading 9 Char_dff5989d-488f-4bce-8721-1e40fadef25a"/>
    <w:link w:val="935"/>
    <w:uiPriority w:val="9"/>
    <w:qFormat/>
    <w:rPr>
      <w:rFonts w:ascii="Arial" w:hAnsi="Arial" w:eastAsia="Arial" w:cs="Arial"/>
      <w:i/>
      <w:iCs/>
      <w:sz w:val="21"/>
      <w:szCs w:val="21"/>
    </w:rPr>
  </w:style>
  <w:style w:type="character" w:styleId="991" w:customStyle="1">
    <w:name w:val="Heading 4 Char_c31a3291-bfa4-4d7b-9792-7b59c18d4e2b"/>
    <w:link w:val="857"/>
    <w:uiPriority w:val="9"/>
    <w:qFormat/>
    <w:rPr>
      <w:rFonts w:ascii="Arial" w:hAnsi="Arial" w:eastAsia="Arial" w:cs="Arial"/>
      <w:b/>
      <w:bCs/>
      <w:sz w:val="26"/>
      <w:szCs w:val="26"/>
    </w:rPr>
  </w:style>
  <w:style w:type="table" w:styleId="9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93"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994" w:customStyle="1">
    <w:name w:val="明显引用 Char"/>
    <w:link w:val="899"/>
    <w:uiPriority w:val="30"/>
    <w:qFormat/>
    <w:rPr>
      <w:i/>
    </w:rPr>
  </w:style>
  <w:style w:type="table" w:styleId="99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996" w:customStyle="1">
    <w:name w:val="Endnote Text Char"/>
    <w:uiPriority w:val="99"/>
    <w:qFormat/>
    <w:rPr>
      <w:sz w:val="20"/>
    </w:rPr>
  </w:style>
  <w:style w:type="table" w:styleId="9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9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9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00" w:customStyle="1">
    <w:name w:val="TOC 标题11"/>
    <w:uiPriority w:val="39"/>
    <w:qFormat/>
    <w:rPr>
      <w:rFonts w:hint="default" w:ascii="Calibri" w:hAnsi="Calibri" w:eastAsia="宋体" w:cs="Times New Roman"/>
      <w:sz w:val="21"/>
      <w:szCs w:val="22"/>
      <w:lang w:val="en-US" w:eastAsia="zh-CN" w:bidi="ar-SA"/>
    </w:rPr>
  </w:style>
  <w:style w:type="table" w:styleId="100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02" w:customStyle="1">
    <w:name w:val="标题 41"/>
    <w:basedOn w:val="753"/>
    <w:next w:val="753"/>
    <w:uiPriority w:val="0"/>
    <w:qFormat/>
    <w:pPr>
      <w:keepLines/>
      <w:keepNext/>
      <w:spacing w:before="280" w:after="290" w:line="376" w:lineRule="auto"/>
      <w:outlineLvl w:val="3"/>
    </w:pPr>
    <w:rPr>
      <w:rFonts w:ascii="Arial" w:hAnsi="Arial" w:eastAsia="黑体" w:cs="Arial"/>
      <w:b/>
      <w:bCs/>
      <w:sz w:val="28"/>
      <w:szCs w:val="28"/>
    </w:rPr>
  </w:style>
  <w:style w:type="paragraph" w:styleId="1003" w:customStyle="1">
    <w:name w:val="Caption"/>
    <w:basedOn w:val="753"/>
    <w:next w:val="753"/>
    <w:uiPriority w:val="35"/>
    <w:qFormat/>
    <w:pPr>
      <w:spacing w:line="276" w:lineRule="auto"/>
    </w:pPr>
    <w:rPr>
      <w:b/>
      <w:bCs/>
      <w:color w:val="4f81bd"/>
      <w:sz w:val="18"/>
      <w:szCs w:val="18"/>
    </w:rPr>
  </w:style>
  <w:style w:type="table" w:styleId="1004"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0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0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0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11" w:customStyle="1">
    <w:name w:val="Body text|4"/>
    <w:basedOn w:val="753"/>
    <w:uiPriority w:val="0"/>
    <w:qFormat/>
    <w:pPr>
      <w:ind w:hanging="1540"/>
    </w:pPr>
    <w:rPr>
      <w:sz w:val="20"/>
      <w:szCs w:val="20"/>
      <w:lang w:val="zh-CN"/>
    </w:rPr>
  </w:style>
  <w:style w:type="table" w:styleId="101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13" w:customStyle="1">
    <w:name w:val="页码1"/>
    <w:uiPriority w:val="0"/>
    <w:qFormat/>
  </w:style>
  <w:style w:type="table" w:styleId="1014"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16"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17"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19" w:customStyle="1">
    <w:name w:val="标题 31"/>
    <w:basedOn w:val="753"/>
    <w:next w:val="753"/>
    <w:uiPriority w:val="0"/>
    <w:qFormat/>
    <w:pPr>
      <w:keepLines/>
      <w:keepNext/>
      <w:spacing w:before="260" w:after="260" w:line="416" w:lineRule="auto"/>
      <w:outlineLvl w:val="2"/>
    </w:pPr>
    <w:rPr>
      <w:b/>
      <w:bCs/>
      <w:sz w:val="32"/>
      <w:szCs w:val="32"/>
    </w:rPr>
  </w:style>
  <w:style w:type="paragraph" w:styleId="1020" w:customStyle="1">
    <w:name w:val="纯文本2"/>
    <w:basedOn w:val="753"/>
    <w:uiPriority w:val="0"/>
    <w:qFormat/>
    <w:rPr>
      <w:rFonts w:ascii="宋体" w:hAnsi="Courier New" w:eastAsia="楷体"/>
      <w:sz w:val="28"/>
      <w:szCs w:val="20"/>
    </w:rPr>
  </w:style>
  <w:style w:type="table" w:styleId="10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22" w:customStyle="1">
    <w:name w:val="Heading 5 Char_23cf5061-de88-43b9-8d64-289936838cdf"/>
    <w:link w:val="922"/>
    <w:uiPriority w:val="9"/>
    <w:qFormat/>
    <w:rPr>
      <w:rFonts w:ascii="Arial" w:hAnsi="Arial" w:eastAsia="Arial" w:cs="Arial"/>
      <w:b/>
      <w:bCs/>
      <w:sz w:val="24"/>
      <w:szCs w:val="24"/>
    </w:rPr>
  </w:style>
  <w:style w:type="table" w:styleId="102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24" w:customStyle="1">
    <w:name w:val="Char"/>
    <w:basedOn w:val="753"/>
    <w:uiPriority w:val="0"/>
    <w:qFormat/>
    <w:pPr>
      <w:tabs>
        <w:tab w:val="left" w:pos="360" w:leader="none"/>
      </w:tabs>
    </w:pPr>
    <w:rPr>
      <w:sz w:val="24"/>
    </w:rPr>
  </w:style>
  <w:style w:type="paragraph" w:styleId="1025" w:customStyle="1">
    <w:name w:val="页眉11"/>
    <w:basedOn w:val="753"/>
    <w:uiPriority w:val="0"/>
    <w:qFormat/>
    <w:pPr>
      <w:jc w:val="center"/>
      <w:tabs>
        <w:tab w:val="center" w:pos="4153" w:leader="none"/>
        <w:tab w:val="right" w:pos="8306" w:leader="none"/>
      </w:tabs>
      <w:pBdr>
        <w:bottom w:val="single" w:color="000000" w:sz="6" w:space="1"/>
      </w:pBdr>
    </w:pPr>
    <w:rPr>
      <w:sz w:val="18"/>
      <w:szCs w:val="18"/>
    </w:rPr>
  </w:style>
  <w:style w:type="table" w:styleId="10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27" w:customStyle="1">
    <w:name w:val="正文首行缩进1"/>
    <w:basedOn w:val="753"/>
    <w:next w:val="845"/>
    <w:uiPriority w:val="99"/>
    <w:qFormat/>
    <w:pPr>
      <w:ind w:firstLine="200"/>
      <w:spacing w:line="360" w:lineRule="auto"/>
    </w:pPr>
    <w:rPr>
      <w:rFonts w:ascii="仿宋" w:eastAsia="仿宋"/>
      <w:sz w:val="30"/>
      <w:szCs w:val="30"/>
    </w:rPr>
  </w:style>
  <w:style w:type="paragraph" w:styleId="1028" w:customStyle="1">
    <w:name w:val="TOC 标题2"/>
    <w:basedOn w:val="754"/>
    <w:next w:val="753"/>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29" w:customStyle="1">
    <w:name w:val="Footer"/>
    <w:basedOn w:val="753"/>
    <w:link w:val="1030"/>
    <w:uiPriority w:val="99"/>
    <w:qFormat/>
    <w:pPr>
      <w:tabs>
        <w:tab w:val="center" w:pos="7143" w:leader="none"/>
        <w:tab w:val="right" w:pos="14287" w:leader="none"/>
      </w:tabs>
    </w:pPr>
  </w:style>
  <w:style w:type="character" w:styleId="1030" w:customStyle="1">
    <w:name w:val="Caption Char"/>
    <w:link w:val="1029"/>
    <w:uiPriority w:val="99"/>
    <w:qFormat/>
  </w:style>
  <w:style w:type="table" w:styleId="103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32" w:customStyle="1">
    <w:name w:val="正文首行缩进 212"/>
    <w:basedOn w:val="806"/>
    <w:next w:val="943"/>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3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36" w:customStyle="1">
    <w:name w:val="Quote Char_e5e4ffb8-e2c5-436f-adcb-072f9351b8ac"/>
    <w:uiPriority w:val="29"/>
    <w:qFormat/>
    <w:rPr>
      <w:i/>
    </w:rPr>
  </w:style>
  <w:style w:type="character" w:styleId="1037" w:customStyle="1">
    <w:name w:val="标题 1 Char"/>
    <w:basedOn w:val="757"/>
    <w:link w:val="754"/>
    <w:uiPriority w:val="9"/>
    <w:qFormat/>
    <w:rPr>
      <w:rFonts w:ascii="Times New Roman" w:hAnsi="Times New Roman"/>
      <w:b/>
      <w:bCs/>
      <w:sz w:val="44"/>
      <w:szCs w:val="44"/>
    </w:rPr>
  </w:style>
  <w:style w:type="character" w:styleId="1038" w:customStyle="1">
    <w:name w:val="Header Char_be4f24b2-7f17-4af0-8f33-0590e26a917c"/>
    <w:link w:val="873"/>
    <w:uiPriority w:val="99"/>
    <w:qFormat/>
  </w:style>
  <w:style w:type="table" w:styleId="1039" w:customStyle="1">
    <w:name w:val="普通表格1"/>
    <w:uiPriority w:val="0"/>
    <w:qFormat/>
    <w:tblPr>
      <w:tblCellMar>
        <w:left w:w="0" w:type="dxa"/>
        <w:top w:w="0" w:type="dxa"/>
        <w:right w:w="0" w:type="dxa"/>
        <w:bottom w:w="0" w:type="dxa"/>
      </w:tblCellMar>
    </w:tbl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刘彬彬</cp:lastModifiedBy>
  <cp:revision>8</cp:revision>
  <dcterms:created xsi:type="dcterms:W3CDTF">2025-07-18T16:12:00Z</dcterms:created>
  <dcterms:modified xsi:type="dcterms:W3CDTF">2025-11-21T06:51:52Z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eyJoZGlkIjoiZjA2NGMyMjc3ZTQ1ZmVkYTUyZmU3MjhiZTRjNTE0ODMiLCJ1c2VySWQiOiIxNjcxMTcwOTI3In0=</vt:lpwstr>
  </property>
  <property fmtid="{D5CDD505-2E9C-101B-9397-08002B2CF9AE}" pid="3" name="KSOProductBuildVer">
    <vt:lpwstr>2052-12.1.0.19770</vt:lpwstr>
  </property>
  <property fmtid="{D5CDD505-2E9C-101B-9397-08002B2CF9AE}" pid="4" name="ICV">
    <vt:lpwstr>1A4E97C887D74AC7B1A61477187FAE1E_13</vt:lpwstr>
  </property>
</Properties>
</file>